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0EE42">
      <w:pPr>
        <w:pStyle w:val="2"/>
        <w:bidi w:val="0"/>
        <w:jc w:val="center"/>
        <w:rPr>
          <w:rFonts w:hint="default"/>
          <w:lang w:val="en-US" w:eastAsia="zh-CN"/>
        </w:rPr>
      </w:pPr>
      <w:bookmarkStart w:id="0" w:name="_Toc20384570"/>
      <w:r>
        <w:rPr>
          <w:rFonts w:hint="eastAsia"/>
          <w:lang w:val="en-US" w:eastAsia="zh-CN"/>
        </w:rPr>
        <w:t>采购需求</w:t>
      </w:r>
    </w:p>
    <w:p w14:paraId="1B26FDCF">
      <w:pPr>
        <w:pStyle w:val="3"/>
        <w:bidi w:val="0"/>
        <w:rPr>
          <w:rFonts w:hint="eastAsia"/>
        </w:rPr>
      </w:pPr>
      <w:r>
        <w:rPr>
          <w:rFonts w:hint="eastAsia"/>
        </w:rPr>
        <w:t>（一）项目概况</w:t>
      </w:r>
    </w:p>
    <w:p w14:paraId="44D90EEB">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平顶山市第一人民医院（优越路院区）位于河南省平顶山市优越路117号，占地面积4万平方米，建筑面积10万余平方米，始建于1956年，是一所集医疗、教学、科研、预防、保健、康复为一体的三级甲等综合医院，为进一步优化医院用能结构、降低运营能耗成本、提升能源管理精细化水平，保障医院医疗业务全周期用能安全与稳定，现拟开展能源费用托管服务项目能源费用托管服务，</w:t>
      </w:r>
      <w:r>
        <w:rPr>
          <w:rFonts w:hint="eastAsia" w:ascii="仿宋" w:hAnsi="仿宋" w:eastAsia="仿宋" w:cs="仿宋"/>
          <w:color w:val="auto"/>
          <w:sz w:val="32"/>
          <w:szCs w:val="32"/>
          <w:lang w:val="en-US" w:eastAsia="zh-CN"/>
        </w:rPr>
        <w:t>合同期限为十年，托管范围为平顶山市第一人民医院优越路院区。</w:t>
      </w:r>
    </w:p>
    <w:p w14:paraId="60CD0462">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2.托管能源费用=托管电费+托管采暖费+托管水费+托管运维费+调整费用，具体如下表：</w:t>
      </w:r>
    </w:p>
    <w:tbl>
      <w:tblPr>
        <w:tblStyle w:val="18"/>
        <w:tblpPr w:leftFromText="180" w:rightFromText="180" w:vertAnchor="text" w:horzAnchor="page" w:tblpX="1710" w:tblpY="175"/>
        <w:tblOverlap w:val="never"/>
        <w:tblW w:w="48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831"/>
        <w:gridCol w:w="969"/>
        <w:gridCol w:w="699"/>
        <w:gridCol w:w="912"/>
        <w:gridCol w:w="850"/>
        <w:gridCol w:w="936"/>
        <w:gridCol w:w="1111"/>
        <w:gridCol w:w="1618"/>
      </w:tblGrid>
      <w:tr w14:paraId="095A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vAlign w:val="center"/>
          </w:tcPr>
          <w:p w14:paraId="44C2C54F">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电量（万kWh/年）</w:t>
            </w:r>
          </w:p>
        </w:tc>
        <w:tc>
          <w:tcPr>
            <w:tcW w:w="469" w:type="pct"/>
            <w:vAlign w:val="center"/>
          </w:tcPr>
          <w:p w14:paraId="5F31B905">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电费（万元/年）</w:t>
            </w:r>
          </w:p>
        </w:tc>
        <w:tc>
          <w:tcPr>
            <w:tcW w:w="546" w:type="pct"/>
            <w:vAlign w:val="center"/>
          </w:tcPr>
          <w:p w14:paraId="2F159A15">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采暖费（万元/年）</w:t>
            </w:r>
          </w:p>
        </w:tc>
        <w:tc>
          <w:tcPr>
            <w:tcW w:w="394" w:type="pct"/>
            <w:vAlign w:val="center"/>
          </w:tcPr>
          <w:p w14:paraId="5C165D5C">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水量（万吨/年）</w:t>
            </w:r>
          </w:p>
        </w:tc>
        <w:tc>
          <w:tcPr>
            <w:tcW w:w="514" w:type="pct"/>
            <w:vAlign w:val="center"/>
          </w:tcPr>
          <w:p w14:paraId="218C84F9">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水费（万元/年）</w:t>
            </w:r>
          </w:p>
        </w:tc>
        <w:tc>
          <w:tcPr>
            <w:tcW w:w="479" w:type="pct"/>
            <w:vAlign w:val="center"/>
          </w:tcPr>
          <w:p w14:paraId="115507BB">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运维费（万元/年）</w:t>
            </w:r>
          </w:p>
        </w:tc>
        <w:tc>
          <w:tcPr>
            <w:tcW w:w="527" w:type="pct"/>
            <w:vAlign w:val="center"/>
          </w:tcPr>
          <w:p w14:paraId="5152F133">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托管费用合计（万元/年）</w:t>
            </w:r>
          </w:p>
        </w:tc>
        <w:tc>
          <w:tcPr>
            <w:tcW w:w="626" w:type="pct"/>
            <w:vAlign w:val="center"/>
          </w:tcPr>
          <w:p w14:paraId="22EBDF4B">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十年总托管费用合计（万元）</w:t>
            </w:r>
          </w:p>
        </w:tc>
        <w:tc>
          <w:tcPr>
            <w:tcW w:w="912" w:type="pct"/>
            <w:vAlign w:val="center"/>
          </w:tcPr>
          <w:p w14:paraId="1D55A6B2">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备注</w:t>
            </w:r>
          </w:p>
        </w:tc>
      </w:tr>
      <w:tr w14:paraId="52FB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vAlign w:val="center"/>
          </w:tcPr>
          <w:p w14:paraId="22116A24">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1353.8</w:t>
            </w:r>
          </w:p>
        </w:tc>
        <w:tc>
          <w:tcPr>
            <w:tcW w:w="469" w:type="pct"/>
            <w:vAlign w:val="center"/>
          </w:tcPr>
          <w:p w14:paraId="29140EB8">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898.5</w:t>
            </w:r>
          </w:p>
        </w:tc>
        <w:tc>
          <w:tcPr>
            <w:tcW w:w="546" w:type="pct"/>
            <w:vAlign w:val="center"/>
          </w:tcPr>
          <w:p w14:paraId="117721D7">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97.8</w:t>
            </w:r>
          </w:p>
        </w:tc>
        <w:tc>
          <w:tcPr>
            <w:tcW w:w="394" w:type="pct"/>
            <w:vAlign w:val="center"/>
          </w:tcPr>
          <w:p w14:paraId="01440615">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41.4</w:t>
            </w:r>
          </w:p>
        </w:tc>
        <w:tc>
          <w:tcPr>
            <w:tcW w:w="514" w:type="pct"/>
            <w:vAlign w:val="center"/>
          </w:tcPr>
          <w:p w14:paraId="619FF153">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136.6</w:t>
            </w:r>
          </w:p>
        </w:tc>
        <w:tc>
          <w:tcPr>
            <w:tcW w:w="479" w:type="pct"/>
            <w:vAlign w:val="center"/>
          </w:tcPr>
          <w:p w14:paraId="0E36967A">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90.6</w:t>
            </w:r>
          </w:p>
        </w:tc>
        <w:tc>
          <w:tcPr>
            <w:tcW w:w="527" w:type="pct"/>
            <w:vAlign w:val="center"/>
          </w:tcPr>
          <w:p w14:paraId="2F28FF7C">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1223.5</w:t>
            </w:r>
          </w:p>
        </w:tc>
        <w:tc>
          <w:tcPr>
            <w:tcW w:w="626" w:type="pct"/>
            <w:vAlign w:val="center"/>
          </w:tcPr>
          <w:p w14:paraId="0872D884">
            <w:pPr>
              <w:pStyle w:val="14"/>
              <w:keepNext w:val="0"/>
              <w:keepLines w:val="0"/>
              <w:widowControl/>
              <w:numPr>
                <w:ilvl w:val="0"/>
                <w:numId w:val="0"/>
              </w:numPr>
              <w:suppressLineNumbers w:val="0"/>
              <w:spacing w:before="40" w:beforeAutospacing="0" w:after="40" w:afterAutospacing="0"/>
              <w:ind w:right="0" w:rightChars="0"/>
              <w:jc w:val="center"/>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4"/>
                <w:szCs w:val="24"/>
                <w:shd w:val="clear" w:color="auto" w:fill="auto"/>
                <w:vertAlign w:val="baseline"/>
                <w:lang w:val="en-US" w:eastAsia="zh-CN"/>
              </w:rPr>
              <w:t>12235</w:t>
            </w:r>
          </w:p>
        </w:tc>
        <w:tc>
          <w:tcPr>
            <w:tcW w:w="912" w:type="pct"/>
            <w:vAlign w:val="center"/>
          </w:tcPr>
          <w:p w14:paraId="4EA839F8">
            <w:pPr>
              <w:pStyle w:val="14"/>
              <w:keepNext w:val="0"/>
              <w:keepLines w:val="0"/>
              <w:widowControl/>
              <w:numPr>
                <w:ilvl w:val="0"/>
                <w:numId w:val="0"/>
              </w:numPr>
              <w:suppressLineNumbers w:val="0"/>
              <w:spacing w:before="40" w:beforeAutospacing="0" w:after="40" w:afterAutospacing="0"/>
              <w:ind w:right="0" w:rightChars="0"/>
              <w:jc w:val="both"/>
              <w:textAlignment w:val="baseline"/>
              <w:rPr>
                <w:rFonts w:hint="eastAsia" w:ascii="仿宋" w:hAnsi="仿宋" w:eastAsia="仿宋" w:cs="仿宋"/>
                <w:i w:val="0"/>
                <w:iCs w:val="0"/>
                <w:caps w:val="0"/>
                <w:color w:val="333333"/>
                <w:spacing w:val="0"/>
                <w:sz w:val="24"/>
                <w:szCs w:val="24"/>
                <w:shd w:val="clear" w:color="auto" w:fill="auto"/>
                <w:vertAlign w:val="baseline"/>
                <w:lang w:val="en-US" w:eastAsia="zh-CN"/>
              </w:rPr>
            </w:pPr>
            <w:r>
              <w:rPr>
                <w:rFonts w:hint="eastAsia" w:ascii="仿宋" w:hAnsi="仿宋" w:eastAsia="仿宋" w:cs="仿宋"/>
                <w:i w:val="0"/>
                <w:iCs w:val="0"/>
                <w:caps w:val="0"/>
                <w:color w:val="333333"/>
                <w:spacing w:val="0"/>
                <w:sz w:val="22"/>
                <w:szCs w:val="22"/>
                <w:shd w:val="clear" w:color="auto" w:fill="auto"/>
                <w:vertAlign w:val="baseline"/>
                <w:lang w:val="en-US" w:eastAsia="zh-CN"/>
              </w:rPr>
              <w:t>表中参数为优越路院区2024、2025两年的平均值。</w:t>
            </w:r>
          </w:p>
        </w:tc>
      </w:tr>
    </w:tbl>
    <w:p w14:paraId="5872EF52">
      <w:pPr>
        <w:pStyle w:val="3"/>
        <w:bidi w:val="0"/>
        <w:rPr>
          <w:rFonts w:hint="eastAsia"/>
        </w:rPr>
      </w:pPr>
      <w:r>
        <w:rPr>
          <w:rFonts w:hint="eastAsia"/>
        </w:rPr>
        <w:t>（二）采购项目预（概）算</w:t>
      </w:r>
    </w:p>
    <w:p w14:paraId="40354E11">
      <w:pPr>
        <w:spacing w:line="560" w:lineRule="exact"/>
        <w:ind w:firstLine="640" w:firstLineChars="200"/>
        <w:jc w:val="left"/>
        <w:rPr>
          <w:rFonts w:hint="default" w:ascii="仿宋" w:hAnsi="仿宋" w:eastAsia="仿宋" w:cs="仿宋"/>
          <w:spacing w:val="2"/>
          <w:sz w:val="29"/>
          <w:szCs w:val="29"/>
          <w:u w:val="single"/>
          <w:lang w:val="en-US" w:eastAsia="zh-CN"/>
        </w:rPr>
      </w:pPr>
      <w:r>
        <w:rPr>
          <w:rFonts w:hint="eastAsia" w:ascii="仿宋" w:hAnsi="仿宋" w:eastAsia="仿宋" w:cs="仿宋"/>
          <w:color w:val="auto"/>
          <w:sz w:val="32"/>
          <w:szCs w:val="32"/>
        </w:rPr>
        <w:t>总预算：</w:t>
      </w:r>
      <w:r>
        <w:rPr>
          <w:rFonts w:hint="eastAsia" w:ascii="仿宋" w:hAnsi="仿宋" w:eastAsia="仿宋" w:cs="仿宋"/>
          <w:spacing w:val="2"/>
          <w:sz w:val="29"/>
          <w:szCs w:val="29"/>
          <w:u w:val="single"/>
          <w:lang w:val="en-US" w:eastAsia="zh-CN"/>
        </w:rPr>
        <w:t>1223.5万元</w:t>
      </w:r>
    </w:p>
    <w:p w14:paraId="4D42211A">
      <w:pPr>
        <w:spacing w:line="560" w:lineRule="exact"/>
        <w:ind w:firstLine="640" w:firstLineChars="200"/>
        <w:jc w:val="left"/>
        <w:rPr>
          <w:rFonts w:hint="eastAsia" w:ascii="仿宋" w:hAnsi="仿宋" w:eastAsia="仿宋" w:cs="仿宋"/>
          <w:i w:val="0"/>
          <w:iCs w:val="0"/>
          <w:caps w:val="0"/>
          <w:color w:val="333333"/>
          <w:spacing w:val="0"/>
          <w:sz w:val="32"/>
          <w:szCs w:val="32"/>
          <w:shd w:val="clear" w:color="auto" w:fill="FFFFFF"/>
          <w:vertAlign w:val="baseline"/>
          <w:lang w:val="en-US" w:eastAsia="zh-CN"/>
        </w:rPr>
      </w:pPr>
      <w:r>
        <w:rPr>
          <w:rFonts w:hint="eastAsia" w:ascii="仿宋" w:hAnsi="仿宋" w:eastAsia="仿宋" w:cs="仿宋"/>
          <w:color w:val="auto"/>
          <w:sz w:val="32"/>
          <w:szCs w:val="32"/>
        </w:rPr>
        <w:t>包1预算</w:t>
      </w:r>
      <w:r>
        <w:rPr>
          <w:rFonts w:hint="eastAsia" w:ascii="仿宋" w:hAnsi="仿宋" w:eastAsia="仿宋" w:cs="仿宋"/>
          <w:color w:val="auto"/>
          <w:sz w:val="32"/>
          <w:szCs w:val="32"/>
          <w:lang w:eastAsia="zh-CN"/>
        </w:rPr>
        <w:t>：</w:t>
      </w:r>
      <w:r>
        <w:rPr>
          <w:rFonts w:hint="eastAsia" w:ascii="仿宋" w:hAnsi="仿宋" w:eastAsia="仿宋" w:cs="仿宋"/>
          <w:spacing w:val="2"/>
          <w:sz w:val="29"/>
          <w:szCs w:val="29"/>
          <w:u w:val="single"/>
          <w:lang w:val="en-US" w:eastAsia="zh-CN"/>
        </w:rPr>
        <w:t>1223.5万元</w:t>
      </w:r>
    </w:p>
    <w:p w14:paraId="64E1833A">
      <w:pPr>
        <w:pStyle w:val="3"/>
        <w:bidi w:val="0"/>
        <w:rPr>
          <w:rFonts w:hint="eastAsia"/>
        </w:rPr>
      </w:pPr>
      <w:r>
        <w:rPr>
          <w:rFonts w:hint="eastAsia"/>
        </w:rPr>
        <w:t>（</w:t>
      </w:r>
      <w:r>
        <w:rPr>
          <w:rFonts w:hint="eastAsia"/>
          <w:lang w:val="en-US" w:eastAsia="zh-CN"/>
        </w:rPr>
        <w:t>三</w:t>
      </w:r>
      <w:r>
        <w:rPr>
          <w:rFonts w:hint="eastAsia"/>
        </w:rPr>
        <w:t>）技术商务要求</w:t>
      </w:r>
    </w:p>
    <w:p w14:paraId="6432084C">
      <w:pPr>
        <w:pStyle w:val="4"/>
        <w:numPr>
          <w:ilvl w:val="0"/>
          <w:numId w:val="2"/>
        </w:numPr>
        <w:bidi w:val="0"/>
        <w:rPr>
          <w:rFonts w:hint="eastAsia"/>
        </w:rPr>
      </w:pPr>
      <w:r>
        <w:rPr>
          <w:rFonts w:hint="eastAsia"/>
        </w:rPr>
        <w:t>技术要求</w:t>
      </w:r>
    </w:p>
    <w:p w14:paraId="4CFAD399">
      <w:pPr>
        <w:spacing w:line="560" w:lineRule="exact"/>
        <w:ind w:firstLine="640" w:firstLineChars="200"/>
        <w:jc w:val="left"/>
        <w:rPr>
          <w:rFonts w:hint="eastAsia" w:ascii="仿宋" w:hAnsi="仿宋" w:eastAsia="仿宋" w:cs="仿宋"/>
          <w:color w:val="auto"/>
          <w:sz w:val="32"/>
          <w:szCs w:val="32"/>
          <w:lang w:eastAsia="zh-CN"/>
        </w:rPr>
      </w:pPr>
      <w:r>
        <w:rPr>
          <w:rFonts w:hint="eastAsia" w:ascii="仿宋" w:hAnsi="仿宋" w:eastAsia="仿宋" w:cs="仿宋"/>
          <w:i w:val="0"/>
          <w:iCs w:val="0"/>
          <w:caps w:val="0"/>
          <w:color w:val="333333"/>
          <w:spacing w:val="0"/>
          <w:sz w:val="32"/>
          <w:szCs w:val="32"/>
          <w:shd w:val="clear" w:fill="FFFFFF"/>
          <w:vertAlign w:val="baseline"/>
        </w:rPr>
        <w:t>项</w:t>
      </w:r>
      <w:r>
        <w:rPr>
          <w:rFonts w:hint="eastAsia" w:ascii="仿宋" w:hAnsi="仿宋" w:eastAsia="仿宋" w:cs="仿宋"/>
          <w:color w:val="auto"/>
          <w:sz w:val="32"/>
          <w:szCs w:val="32"/>
        </w:rPr>
        <w:t>目服务方案须覆盖医院全场景用能系统的节能改造，由乙方负责项目投资、建设、运营及维护，提供</w:t>
      </w:r>
      <w:r>
        <w:rPr>
          <w:rFonts w:hint="eastAsia" w:ascii="仿宋" w:hAnsi="仿宋" w:eastAsia="仿宋" w:cs="仿宋"/>
          <w:color w:val="auto"/>
          <w:sz w:val="32"/>
          <w:szCs w:val="32"/>
          <w:lang w:val="en-US" w:eastAsia="zh-CN"/>
        </w:rPr>
        <w:t>能源托管</w:t>
      </w:r>
      <w:r>
        <w:rPr>
          <w:rFonts w:hint="eastAsia" w:ascii="仿宋" w:hAnsi="仿宋" w:eastAsia="仿宋" w:cs="仿宋"/>
          <w:color w:val="auto"/>
          <w:sz w:val="32"/>
          <w:szCs w:val="32"/>
        </w:rPr>
        <w:t>服务，</w:t>
      </w:r>
      <w:r>
        <w:rPr>
          <w:rFonts w:hint="eastAsia" w:ascii="仿宋" w:hAnsi="仿宋" w:eastAsia="仿宋" w:cs="仿宋"/>
          <w:color w:val="auto"/>
          <w:sz w:val="32"/>
          <w:szCs w:val="32"/>
          <w:lang w:val="en-US" w:eastAsia="zh-CN"/>
        </w:rPr>
        <w:t>改造</w:t>
      </w:r>
      <w:r>
        <w:rPr>
          <w:rFonts w:hint="eastAsia" w:ascii="仿宋" w:hAnsi="仿宋" w:eastAsia="仿宋" w:cs="仿宋"/>
          <w:color w:val="auto"/>
          <w:sz w:val="32"/>
          <w:szCs w:val="32"/>
        </w:rPr>
        <w:t>内容如下：</w:t>
      </w:r>
    </w:p>
    <w:p w14:paraId="10BAE8A6">
      <w:pPr>
        <w:numPr>
          <w:ilvl w:val="0"/>
          <w:numId w:val="0"/>
        </w:numPr>
        <w:spacing w:line="560" w:lineRule="exact"/>
        <w:ind w:firstLine="640" w:firstLineChars="200"/>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kern w:val="2"/>
          <w:sz w:val="32"/>
          <w:szCs w:val="32"/>
          <w:lang w:val="en-US" w:eastAsia="zh-CN" w:bidi="ar-SA"/>
        </w:rPr>
        <w:t>1.</w:t>
      </w:r>
      <w:r>
        <w:rPr>
          <w:rFonts w:hint="eastAsia" w:ascii="仿宋" w:hAnsi="仿宋" w:eastAsia="仿宋" w:cs="仿宋"/>
          <w:b w:val="0"/>
          <w:bCs w:val="0"/>
          <w:color w:val="auto"/>
          <w:sz w:val="32"/>
          <w:szCs w:val="32"/>
          <w:lang w:val="en-US" w:eastAsia="zh-CN"/>
        </w:rPr>
        <w:t>中央空调系统改造</w:t>
      </w:r>
    </w:p>
    <w:p w14:paraId="76098324">
      <w:pPr>
        <w:numPr>
          <w:ilvl w:val="0"/>
          <w:numId w:val="0"/>
        </w:numPr>
        <w:spacing w:line="560" w:lineRule="exact"/>
        <w:ind w:firstLine="640" w:firstLineChars="200"/>
        <w:jc w:val="left"/>
        <w:rPr>
          <w:rFonts w:hint="eastAsia" w:ascii="仿宋" w:hAnsi="仿宋" w:eastAsia="仿宋" w:cs="仿宋"/>
          <w:color w:val="auto"/>
          <w:sz w:val="32"/>
          <w:szCs w:val="32"/>
          <w:highlight w:val="yellow"/>
          <w:lang w:val="en-US" w:eastAsia="zh-CN"/>
        </w:rPr>
      </w:pPr>
      <w:r>
        <w:rPr>
          <w:rFonts w:hint="eastAsia" w:ascii="仿宋" w:hAnsi="仿宋" w:eastAsia="仿宋" w:cs="仿宋"/>
          <w:color w:val="auto"/>
          <w:sz w:val="32"/>
          <w:szCs w:val="32"/>
          <w:lang w:val="en-US" w:eastAsia="zh-CN"/>
        </w:rPr>
        <w:t>结合平顶山市第一人民医院（优越路院区）现有的空调负荷情况及运行要求，2#楼风冷热泵机组运行年限有12年，3#楼水冷螺杆机组运行年限达21年，设备老旧，能效衰减大，为提升系统能效，降低空调系统能耗，节约投资成本，建议更换原空调主机，并将2#楼、3#楼空调系统连通，设置集中冷站。利用3号楼地下室的中央空调机房，建设集中高效冷站，建设高效机房群控系统</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highlight w:val="none"/>
          <w:lang w:val="en-US" w:eastAsia="zh-CN"/>
        </w:rPr>
        <w:t>新投入冷水机组、水泵、冷却塔风机等需采用知名品牌，能效等级不低于2级，改造后制冷EER≥4.5。</w:t>
      </w:r>
    </w:p>
    <w:p w14:paraId="1774F60B">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1）空调系统改造</w:t>
      </w:r>
      <w:r>
        <w:rPr>
          <w:rFonts w:hint="eastAsia" w:ascii="仿宋" w:hAnsi="仿宋" w:eastAsia="仿宋" w:cs="仿宋"/>
          <w:color w:val="auto"/>
          <w:sz w:val="32"/>
          <w:szCs w:val="32"/>
          <w:lang w:val="en-US" w:eastAsia="zh-CN"/>
        </w:rPr>
        <w:t>：</w:t>
      </w:r>
    </w:p>
    <w:p w14:paraId="5F65AA7F">
      <w:pPr>
        <w:keepNext w:val="0"/>
        <w:keepLines w:val="0"/>
        <w:pageBreakBefore w:val="0"/>
        <w:widowControl/>
        <w:kinsoku/>
        <w:wordWrap/>
        <w:overflowPunct/>
        <w:topLinePunct w:val="0"/>
        <w:autoSpaceDE/>
        <w:autoSpaceDN/>
        <w:bidi w:val="0"/>
        <w:adjustRightInd/>
        <w:snapToGrid/>
        <w:spacing w:line="240" w:lineRule="auto"/>
        <w:ind w:left="0" w:leftChars="0" w:firstLine="419" w:firstLineChars="131"/>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a.</w:t>
      </w:r>
      <w:r>
        <w:rPr>
          <w:rFonts w:hint="eastAsia" w:ascii="仿宋" w:hAnsi="仿宋" w:eastAsia="仿宋" w:cs="仿宋"/>
          <w:color w:val="auto"/>
          <w:sz w:val="32"/>
          <w:szCs w:val="32"/>
          <w:lang w:val="en-US" w:eastAsia="zh-CN"/>
        </w:rPr>
        <w:t>拆除机房内原有2台315RT冷水机组，新增2台</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350RT冷水机组，并相应更换机房内水泵、空调主管</w:t>
      </w:r>
      <w:r>
        <w:rPr>
          <w:rFonts w:hint="eastAsia" w:ascii="仿宋" w:hAnsi="仿宋" w:eastAsia="仿宋" w:cs="仿宋"/>
          <w:color w:val="auto"/>
          <w:sz w:val="32"/>
          <w:szCs w:val="32"/>
          <w:lang w:val="en-US" w:eastAsia="zh-CN"/>
        </w:rPr>
        <w:t>，机房装修升级改造</w:t>
      </w:r>
      <w:r>
        <w:rPr>
          <w:rFonts w:hint="eastAsia" w:ascii="仿宋" w:hAnsi="仿宋" w:eastAsia="仿宋" w:cs="仿宋"/>
          <w:color w:val="auto"/>
          <w:sz w:val="32"/>
          <w:szCs w:val="32"/>
          <w:lang w:val="en-US" w:eastAsia="zh-CN"/>
        </w:rPr>
        <w:t>。</w:t>
      </w:r>
    </w:p>
    <w:p w14:paraId="141DD27F">
      <w:pPr>
        <w:numPr>
          <w:ilvl w:val="0"/>
          <w:numId w:val="0"/>
        </w:numPr>
        <w:spacing w:line="560" w:lineRule="exact"/>
        <w:ind w:left="0" w:leftChars="0" w:firstLine="419" w:firstLineChars="131"/>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b.</w:t>
      </w:r>
      <w:r>
        <w:rPr>
          <w:rFonts w:hint="eastAsia" w:ascii="仿宋" w:hAnsi="仿宋" w:eastAsia="仿宋" w:cs="仿宋"/>
          <w:color w:val="auto"/>
          <w:sz w:val="32"/>
          <w:szCs w:val="32"/>
          <w:lang w:val="en-US" w:eastAsia="zh-CN"/>
        </w:rPr>
        <w:t>室外连通管由3#楼分集水器引出接至2#楼水管井。</w:t>
      </w:r>
    </w:p>
    <w:p w14:paraId="45939AFC">
      <w:pPr>
        <w:numPr>
          <w:ilvl w:val="0"/>
          <w:numId w:val="0"/>
        </w:num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lang w:val="en-US" w:eastAsia="zh-CN"/>
        </w:rPr>
        <w:t>c.</w:t>
      </w:r>
      <w:r>
        <w:rPr>
          <w:rFonts w:hint="eastAsia" w:ascii="仿宋" w:hAnsi="仿宋" w:eastAsia="仿宋" w:cs="仿宋"/>
          <w:color w:val="auto"/>
          <w:sz w:val="32"/>
          <w:szCs w:val="32"/>
          <w:lang w:val="en-US" w:eastAsia="zh-CN"/>
        </w:rPr>
        <w:t>拆除原冷却塔，按总冷水机制冷容量1000RT配置冷却塔。</w:t>
      </w:r>
      <w:r>
        <w:rPr>
          <w:rFonts w:hint="eastAsia" w:ascii="仿宋" w:hAnsi="仿宋" w:eastAsia="仿宋" w:cs="仿宋"/>
          <w:color w:val="auto"/>
          <w:sz w:val="32"/>
          <w:szCs w:val="32"/>
          <w:highlight w:val="none"/>
          <w:lang w:val="en-US" w:eastAsia="zh-CN"/>
        </w:rPr>
        <w:t>更换冷却塔需重新评估结构荷载是否满足要求（中标单位聘请专业机构出具评估报告），如荷载不满足要求，需采取相应措施或调整方案以满足节能降耗的要求，采取措施或调整方案增加的费用由中标单位承担。</w:t>
      </w:r>
    </w:p>
    <w:p w14:paraId="08CF64BB">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2）空调控制系统改造</w:t>
      </w:r>
      <w:r>
        <w:rPr>
          <w:rFonts w:hint="eastAsia" w:ascii="仿宋" w:hAnsi="仿宋" w:eastAsia="仿宋" w:cs="仿宋"/>
          <w:color w:val="auto"/>
          <w:sz w:val="32"/>
          <w:szCs w:val="32"/>
          <w:lang w:val="en-US" w:eastAsia="zh-CN"/>
        </w:rPr>
        <w:t>：</w:t>
      </w:r>
    </w:p>
    <w:p w14:paraId="1ABF9C87">
      <w:pPr>
        <w:pStyle w:val="26"/>
        <w:numPr>
          <w:ilvl w:val="0"/>
          <w:numId w:val="3"/>
        </w:numPr>
        <w:ind w:firstLineChars="0"/>
        <w:rPr>
          <w:rFonts w:hint="eastAsia" w:ascii="仿宋" w:hAnsi="仿宋" w:eastAsia="仿宋" w:cs="仿宋"/>
          <w:color w:val="auto"/>
          <w:sz w:val="32"/>
          <w:szCs w:val="32"/>
        </w:rPr>
      </w:pPr>
      <w:r>
        <w:rPr>
          <w:rFonts w:hint="eastAsia" w:ascii="仿宋" w:hAnsi="仿宋" w:eastAsia="仿宋" w:cs="仿宋"/>
          <w:color w:val="auto"/>
          <w:sz w:val="32"/>
          <w:szCs w:val="32"/>
          <w:lang w:val="zh-CN"/>
        </w:rPr>
        <w:t>安装超高效机房控制系统</w:t>
      </w:r>
      <w:r>
        <w:rPr>
          <w:rFonts w:hint="eastAsia" w:ascii="仿宋" w:hAnsi="仿宋" w:eastAsia="仿宋" w:cs="仿宋"/>
          <w:color w:val="auto"/>
          <w:sz w:val="32"/>
          <w:szCs w:val="32"/>
        </w:rPr>
        <w:t>，</w:t>
      </w:r>
      <w:r>
        <w:rPr>
          <w:rFonts w:hint="eastAsia" w:ascii="仿宋" w:hAnsi="仿宋" w:eastAsia="仿宋" w:cs="仿宋"/>
          <w:color w:val="auto"/>
          <w:sz w:val="32"/>
          <w:szCs w:val="32"/>
          <w:lang w:val="zh-CN"/>
        </w:rPr>
        <w:t>实现机房的安全高效运行。此系统控制部分主要由控制软件、主控制器</w:t>
      </w:r>
      <w:r>
        <w:rPr>
          <w:rFonts w:hint="eastAsia" w:ascii="仿宋" w:hAnsi="仿宋" w:eastAsia="仿宋" w:cs="仿宋"/>
          <w:color w:val="auto"/>
          <w:sz w:val="32"/>
          <w:szCs w:val="32"/>
        </w:rPr>
        <w:t>，HMI</w:t>
      </w:r>
      <w:r>
        <w:rPr>
          <w:rFonts w:hint="eastAsia" w:ascii="仿宋" w:hAnsi="仿宋" w:eastAsia="仿宋" w:cs="仿宋"/>
          <w:color w:val="auto"/>
          <w:sz w:val="32"/>
          <w:szCs w:val="32"/>
          <w:lang w:val="zh-CN"/>
        </w:rPr>
        <w:t>及相应的传感器组成</w:t>
      </w:r>
      <w:r>
        <w:rPr>
          <w:rFonts w:hint="eastAsia" w:ascii="仿宋" w:hAnsi="仿宋" w:eastAsia="仿宋" w:cs="仿宋"/>
          <w:color w:val="auto"/>
          <w:sz w:val="32"/>
          <w:szCs w:val="32"/>
        </w:rPr>
        <w:t>。</w:t>
      </w:r>
    </w:p>
    <w:p w14:paraId="04AF3BC5">
      <w:pPr>
        <w:pStyle w:val="26"/>
        <w:numPr>
          <w:ilvl w:val="0"/>
          <w:numId w:val="3"/>
        </w:numPr>
        <w:ind w:firstLineChars="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高效机房控制系统通过和冷冻主机的主控制器通讯，将其接入新增的高效机房控制系统内。</w:t>
      </w:r>
    </w:p>
    <w:p w14:paraId="346FE488">
      <w:pPr>
        <w:pStyle w:val="26"/>
        <w:numPr>
          <w:ilvl w:val="0"/>
          <w:numId w:val="3"/>
        </w:numPr>
        <w:ind w:firstLineChars="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在主机的主供电回路上，装功率传感器，来测量主机的功耗；其他耗电设备，如水泵和冷却塔风扇的耗电量，通过和变频器的通讯来获取。</w:t>
      </w:r>
    </w:p>
    <w:p w14:paraId="1E4F8CFA">
      <w:pPr>
        <w:pStyle w:val="26"/>
        <w:numPr>
          <w:ilvl w:val="0"/>
          <w:numId w:val="3"/>
        </w:numPr>
        <w:ind w:firstLineChars="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增加室外干球温度传感器及相对湿度传感器来控制冷却塔的工作，从而来实现冷凝器变温进水温度，提高冷机的效率。</w:t>
      </w:r>
    </w:p>
    <w:p w14:paraId="353CC0AD">
      <w:pPr>
        <w:pStyle w:val="26"/>
        <w:numPr>
          <w:ilvl w:val="0"/>
          <w:numId w:val="3"/>
        </w:numPr>
        <w:ind w:firstLineChars="0"/>
        <w:rPr>
          <w:rFonts w:hint="eastAsia" w:ascii="仿宋" w:hAnsi="仿宋" w:eastAsia="仿宋" w:cs="仿宋"/>
          <w:color w:val="auto"/>
          <w:sz w:val="32"/>
          <w:szCs w:val="32"/>
        </w:rPr>
      </w:pPr>
      <w:r>
        <w:rPr>
          <w:rFonts w:hint="eastAsia" w:ascii="仿宋" w:hAnsi="仿宋" w:eastAsia="仿宋" w:cs="仿宋"/>
          <w:color w:val="auto"/>
          <w:sz w:val="32"/>
          <w:szCs w:val="32"/>
          <w:lang w:val="zh-CN"/>
        </w:rPr>
        <w:t>在</w:t>
      </w:r>
      <w:r>
        <w:rPr>
          <w:rFonts w:hint="eastAsia" w:ascii="仿宋" w:hAnsi="仿宋" w:eastAsia="仿宋" w:cs="仿宋"/>
          <w:color w:val="auto"/>
          <w:sz w:val="32"/>
          <w:szCs w:val="32"/>
        </w:rPr>
        <w:t>机房系统关键位置装水温传感器、水管流量计及压差传感器等，高效机房控制系统实时采集系统数据，并依靠节能控制算法进行运算，然后输出控制和协调各设备的节能运行。</w:t>
      </w:r>
    </w:p>
    <w:p w14:paraId="62C32323">
      <w:pPr>
        <w:pStyle w:val="26"/>
        <w:numPr>
          <w:ilvl w:val="0"/>
          <w:numId w:val="3"/>
        </w:numPr>
        <w:ind w:firstLineChars="0"/>
        <w:rPr>
          <w:rFonts w:hint="eastAsia" w:ascii="仿宋" w:hAnsi="仿宋" w:eastAsia="仿宋" w:cs="仿宋"/>
          <w:color w:val="auto"/>
          <w:sz w:val="32"/>
          <w:szCs w:val="32"/>
        </w:rPr>
      </w:pPr>
      <w:r>
        <w:rPr>
          <w:rFonts w:hint="eastAsia" w:ascii="仿宋" w:hAnsi="仿宋" w:eastAsia="仿宋" w:cs="仿宋"/>
          <w:color w:val="auto"/>
          <w:sz w:val="32"/>
          <w:szCs w:val="32"/>
        </w:rPr>
        <w:t>对负荷区域不利环路分别加装一定数量的压差传感器，在变频控制的同时，保证最不利环路的负荷需求。</w:t>
      </w:r>
    </w:p>
    <w:p w14:paraId="11B087BE">
      <w:pPr>
        <w:pStyle w:val="26"/>
        <w:numPr>
          <w:ilvl w:val="0"/>
          <w:numId w:val="3"/>
        </w:numPr>
        <w:ind w:firstLineChars="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对冷水机组和冷却塔相应的进出口装电动控制阀，增加冷冻水旁通回路，并增加电动调节阀。</w:t>
      </w:r>
    </w:p>
    <w:p w14:paraId="6F8AC492">
      <w:pPr>
        <w:spacing w:line="560" w:lineRule="exact"/>
        <w:ind w:firstLine="640" w:firstLineChars="200"/>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2.高效采暖系统建设</w:t>
      </w:r>
    </w:p>
    <w:p w14:paraId="22A6A76F">
      <w:pPr>
        <w:spacing w:line="560" w:lineRule="exact"/>
        <w:ind w:firstLine="640" w:firstLineChars="200"/>
        <w:jc w:val="left"/>
        <w:rPr>
          <w:rFonts w:hint="eastAsia" w:ascii="仿宋" w:hAnsi="仿宋" w:eastAsia="仿宋" w:cs="仿宋"/>
          <w:color w:val="auto"/>
          <w:sz w:val="32"/>
          <w:szCs w:val="32"/>
          <w:highlight w:val="yellow"/>
          <w:lang w:val="en-US" w:eastAsia="zh-CN"/>
        </w:rPr>
      </w:pPr>
      <w:r>
        <w:rPr>
          <w:rFonts w:hint="eastAsia" w:ascii="仿宋" w:hAnsi="仿宋" w:eastAsia="仿宋" w:cs="仿宋"/>
          <w:color w:val="auto"/>
          <w:sz w:val="32"/>
          <w:szCs w:val="32"/>
          <w:highlight w:val="none"/>
          <w:lang w:val="en-US" w:eastAsia="zh-CN"/>
        </w:rPr>
        <w:t>结合平顶山市第一人民医院（优越路院区）现有的采暖负荷情况及运行要求，3#楼采用市政供热，市政供热时间固定，供热单价偏高，为降低运行成，提升采暖质量，建议将3#楼市政供热改为医院自主的风冷热泵系统供热，同时考虑投资成本及运行管理因素，建议将2#楼、3#楼采暖系统联通，设置集中供热站。新投入风冷热泵、水泵等设备应采用知名品牌，能效等级不低于2级。</w:t>
      </w:r>
    </w:p>
    <w:p w14:paraId="3EAC7E26">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改造路线如下：</w:t>
      </w:r>
    </w:p>
    <w:p w14:paraId="751D5F18">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1）在2号楼屋面，建设集中式高效热站，拆除原1台风冷热泵主机，新增1台制热量≥900KW的高效风冷热泵机组，主机cop≥3.0。</w:t>
      </w:r>
    </w:p>
    <w:p w14:paraId="40C3CE64">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更换风冷热泵需重新评估结构荷载是否满足要求（中标单位聘请专业机构出具评估报告），如荷载不满足要求，需采取相应措施或调整方案以满足节能降耗的要求，采取措施或调整方案增加的费用由中标单位承担。</w:t>
      </w:r>
    </w:p>
    <w:p w14:paraId="054997E5">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3）2#、3#楼连通主管同空调系统室外主管；</w:t>
      </w:r>
    </w:p>
    <w:p w14:paraId="357F158C">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4）增加控制阀门，用于夏季与冬季的供能切换；</w:t>
      </w:r>
    </w:p>
    <w:p w14:paraId="1B5F5601">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5）建设高效BA控制系统，集中控制供暖设备运行。</w:t>
      </w:r>
    </w:p>
    <w:p w14:paraId="3DB58305">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3.光伏系统建设</w:t>
      </w:r>
    </w:p>
    <w:p w14:paraId="5E7F2F0F">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1）根据目前平顶山市第一人民医院（优越路院区）的屋面情况，敷设屋顶分布式光伏系统，主要在2号楼、3号楼、门诊楼的屋面进行建设；安装方式采用水泥墩支架安装方式。</w:t>
      </w:r>
    </w:p>
    <w:p w14:paraId="48CFAF71">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2）预估装机容量约为300KWp，10年能源托管合同期满后，光伏产权归医院所有。</w:t>
      </w:r>
    </w:p>
    <w:p w14:paraId="00178208">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光伏安装需重新评估结构荷载是否满足要求（中标单位聘请专业机构出具评估报告），如荷载不满足要求，需采取相应措施或调整方案以满足节能降耗的要求，采取措施或调整方案增加的费用由中标单位承担。</w:t>
      </w:r>
    </w:p>
    <w:p w14:paraId="4971F1C7">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4.智慧照明系统建设</w:t>
      </w:r>
    </w:p>
    <w:p w14:paraId="29CFB047">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更换院内传统非节能灯具或损坏、照明度不足的灯具，更换的新灯具在照明度与原有灯具一致的条件下，功率应比原有灯具更低，达到节能效果；除更换灯具外，需建设公共区域智慧照明系统，同时实现智能管控。</w:t>
      </w:r>
    </w:p>
    <w:p w14:paraId="574E9182">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kern w:val="2"/>
          <w:sz w:val="32"/>
          <w:szCs w:val="32"/>
          <w:lang w:val="en-US" w:eastAsia="zh-CN" w:bidi="ar-SA"/>
        </w:rPr>
        <w:t>5.</w:t>
      </w:r>
      <w:r>
        <w:rPr>
          <w:rFonts w:hint="eastAsia" w:ascii="仿宋" w:hAnsi="仿宋" w:eastAsia="仿宋" w:cs="仿宋"/>
          <w:color w:val="auto"/>
          <w:sz w:val="32"/>
          <w:szCs w:val="32"/>
          <w:lang w:val="en-US" w:eastAsia="zh-CN"/>
        </w:rPr>
        <w:t>自来水系统改造和检测</w:t>
      </w:r>
    </w:p>
    <w:p w14:paraId="10908A7B">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医院近年来的用水呈现逐年下降的趋势，说明医院节水管理工作比较到位，但仍具备较大的节水空间。通过对医院当前供水管网以及用水现状进行分析，节水系统建设主要包含一下内容：</w:t>
      </w:r>
    </w:p>
    <w:p w14:paraId="650EE835">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1）更换医院当前非节水器具。对医院区域内用水终端进行普查检测管理，针对不同类型用水终端根据实际情况升级改造。</w:t>
      </w:r>
    </w:p>
    <w:p w14:paraId="5B8C84D6">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2）医院用水管理信息化建设，包括智慧用水管理控制系统、供水管网主动报漏系统、用水数据分析和展示系统，实现对医院用水的单元分区监测和管理。</w:t>
      </w:r>
    </w:p>
    <w:p w14:paraId="68DE690B">
      <w:pPr>
        <w:numPr>
          <w:ilvl w:val="0"/>
          <w:numId w:val="0"/>
        </w:num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3）配合医院开展节水宣传活动。</w:t>
      </w:r>
    </w:p>
    <w:p w14:paraId="6B935870">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6.分体空调改造</w:t>
      </w:r>
    </w:p>
    <w:p w14:paraId="48A7888A">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1）逐步更换部分老旧、能效低的分体空调（根据使用情况更换）；</w:t>
      </w:r>
    </w:p>
    <w:p w14:paraId="139BA4FF">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2）增加分体空调监控模块（根据现场情况增加）；</w:t>
      </w:r>
    </w:p>
    <w:p w14:paraId="717E09C8">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3）通过监控模块控制分体空调使用“定时定温”，减少能源浪费。</w:t>
      </w:r>
    </w:p>
    <w:p w14:paraId="44FEE690">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4）空调节能控制器主要功能如下：</w:t>
      </w:r>
    </w:p>
    <w:p w14:paraId="7546ECB6">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a.可远程或现场设定空调的运行参数;</w:t>
      </w:r>
    </w:p>
    <w:p w14:paraId="7BEA17C2">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b.可在指定的时间段，指定的温度段接通或是断开空调电源;</w:t>
      </w:r>
    </w:p>
    <w:p w14:paraId="529C972E">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c.可远程检测空调开关状态;</w:t>
      </w:r>
    </w:p>
    <w:p w14:paraId="6422D2FC">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d.可远程手动开关空调;</w:t>
      </w:r>
    </w:p>
    <w:p w14:paraId="648B403B">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e.允许使用空调机原配遥控器现场设置空调温度等状态(不影响原空调的各种功能及使用);</w:t>
      </w:r>
    </w:p>
    <w:p w14:paraId="1011E92E">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f.远程定时开关空调;</w:t>
      </w:r>
    </w:p>
    <w:p w14:paraId="341CFAB9">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g.对空调进行远程分组管理;</w:t>
      </w:r>
    </w:p>
    <w:p w14:paraId="7182BDAE">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7.充电桩建设</w:t>
      </w:r>
    </w:p>
    <w:p w14:paraId="22BBECA1">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根据医院现场条件，设置充电桩，满足医院车辆充电要求。</w:t>
      </w:r>
    </w:p>
    <w:p w14:paraId="4464A38C">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项目室外充电桩建设分为机动车电动汽车充电区、电动自行车（非机动车）充电区，布置于院区室外地面独立场地。机动车充电区兼顾就诊患者临时快充补能、院内职工长时间慢充；非机动车充电棚服务医护职工两轮电动车停放充电。充电区域严禁占用急救通道、消防车道、救护车回转场地，与门诊楼、住院楼、液氧站、危化品库房保持规范防火间距，保障医院急救功能优先。。</w:t>
      </w:r>
    </w:p>
    <w:p w14:paraId="0F2E92A6">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8.热水系统改造，逐步更换2、3号楼屋面的空气能热水机组。</w:t>
      </w:r>
    </w:p>
    <w:p w14:paraId="2FA862BA">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9.能效管理系统建设，实现对医院空调、采暖、热水、光伏、照明等系统的高效节能管理，并实现以下功能：</w:t>
      </w:r>
    </w:p>
    <w:p w14:paraId="79E7A3B0">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1）实现数据采集自动化</w:t>
      </w:r>
    </w:p>
    <w:p w14:paraId="223A4012">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2）提高能耗可视化水平</w:t>
      </w:r>
    </w:p>
    <w:p w14:paraId="63E61487">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3）具有能耗可追溯能力</w:t>
      </w:r>
    </w:p>
    <w:p w14:paraId="3E2ED919">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4）能耗可指标化</w:t>
      </w:r>
    </w:p>
    <w:p w14:paraId="7227CF1D">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5）数据支撑节能增效</w:t>
      </w:r>
    </w:p>
    <w:p w14:paraId="1124C290">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6）快捷简单访问</w:t>
      </w:r>
    </w:p>
    <w:p w14:paraId="499F771F">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7）多账户管理</w:t>
      </w:r>
    </w:p>
    <w:p w14:paraId="724511EE">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9）账单计算</w:t>
      </w:r>
    </w:p>
    <w:p w14:paraId="24DF56E9">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10）历史数据分析</w:t>
      </w:r>
    </w:p>
    <w:p w14:paraId="3035E1AE">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11）能耗报警</w:t>
      </w:r>
    </w:p>
    <w:p w14:paraId="255B0980">
      <w:pPr>
        <w:spacing w:line="560" w:lineRule="exact"/>
        <w:ind w:firstLine="960" w:firstLineChars="3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12）能耗报告。</w:t>
      </w:r>
    </w:p>
    <w:p w14:paraId="07774119">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10.建设智慧后勤管理系统</w:t>
      </w:r>
    </w:p>
    <w:p w14:paraId="2C547007">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建设智慧运维系统，建立专业的运营管理团队和运营机制，确保平顶山市第一人民医院（优越路院区）运营的安全性、可靠性和高效性。主要建设内容有：一站式服务中心，建设智慧管理运营平台，能源管理系统、机电安全管理系统、后勤管理服务系统等，同时全院需单独核算科室增设水电智能计量；增设大功率设备电表，增设净化空调计量</w:t>
      </w:r>
    </w:p>
    <w:p w14:paraId="2250E5CC">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lang w:val="en-US" w:eastAsia="zh-CN"/>
        </w:rPr>
        <w:t>11.改造总投资不小于1100万元，</w:t>
      </w:r>
      <w:r>
        <w:rPr>
          <w:rFonts w:hint="eastAsia" w:ascii="仿宋" w:hAnsi="仿宋" w:eastAsia="仿宋" w:cs="仿宋"/>
          <w:color w:val="auto"/>
          <w:sz w:val="32"/>
          <w:szCs w:val="32"/>
          <w:highlight w:val="none"/>
          <w:lang w:val="en-US" w:eastAsia="zh-CN"/>
        </w:rPr>
        <w:t>投资金额确认办法如下：</w:t>
      </w:r>
    </w:p>
    <w:p w14:paraId="22863271">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1）图纸输出：由节能服务公司委托具备相应资质的设计院完成节能改造全套施工图纸、技术方案图纸输出，图纸完成内部校核、审核及审定，形成正式版施工图纸，作为工程量核算基础依据。</w:t>
      </w:r>
    </w:p>
    <w:p w14:paraId="50649EA2">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2）编制工程量清单：依据设计院出具的正式施工图纸，结合项目现场勘查资料、技术边界条件，统计核算全部工程内容，编制完整工程量清单，明确各分项工程数量、规格、技术参数，完成清单复核校对。</w:t>
      </w:r>
    </w:p>
    <w:p w14:paraId="00439A70">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工程造价编制审核：以审定版工程量清单为基础，套用对应计价定额、市场设备材料价格、取费标准，编制项目工程造价，包含设计费、设备采购费、安装施工费、辅材费、运输费、调试费、规费税金等全部投资范畴；完成造价内部审核，必要时开展第三方造价咨询评审。</w:t>
      </w:r>
    </w:p>
    <w:p w14:paraId="7E611CC5">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4）投资金额正式确认：双方就项目总投资金额达成一致，形成《能源托管项目投资金额确认单》，列明项目范围、总投资金额、分项金额、计价依据，经双方授权代表签字并加盖公章，完成投资金额正式确认。</w:t>
      </w:r>
    </w:p>
    <w:p w14:paraId="3BD4990B">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12.改造实施要求</w:t>
      </w:r>
    </w:p>
    <w:p w14:paraId="607E411E">
      <w:pPr>
        <w:spacing w:line="560" w:lineRule="exact"/>
        <w:ind w:left="0" w:lef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1）托管项目实施前，医院要确保用能设备设施完整且正常运行，合同生效后及时交由节能服务公司运维管理。</w:t>
      </w:r>
    </w:p>
    <w:p w14:paraId="71278522">
      <w:pPr>
        <w:spacing w:line="560" w:lineRule="exact"/>
        <w:ind w:left="0" w:lef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2）合同签订后，节能服务公司按项目实施方案进行改造，医院可根据需要聘请有资质的工程监理单位负责质量监督、问题处理和日常协调。改造期满后，由医院依法组织验收，对验收材料进行存档。</w:t>
      </w:r>
    </w:p>
    <w:p w14:paraId="2C2B8F3E">
      <w:pPr>
        <w:spacing w:line="560" w:lineRule="exact"/>
        <w:ind w:left="0" w:lef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3）在托管合同期内，由节能服务公司按约定服务内容维护和管理用能系统，并实时监测能耗情况，及时进行系统优化。</w:t>
      </w:r>
    </w:p>
    <w:p w14:paraId="5F43CCC6">
      <w:pPr>
        <w:spacing w:line="560" w:lineRule="exact"/>
        <w:ind w:left="0" w:lef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4）改造期间需乙方应保障医院的用能稳定，不得影响医院的正常营运。</w:t>
      </w:r>
    </w:p>
    <w:p w14:paraId="30A0092A">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13.资产管理</w:t>
      </w:r>
    </w:p>
    <w:p w14:paraId="44B981DD">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改造实施完成后，新增的固定资产归属节能服务公司。合同履行期满后，节能服务公司应按照合同约定，将其投资形成的项目资产以及竣工资料和日常运行所必需的相关全部文件资料移交给医院，医院按照国家统一的会计制度对移交的资产进行会计处理。</w:t>
      </w:r>
    </w:p>
    <w:p w14:paraId="4ACF1FF8">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2）在托管合同期内，医院应加强对相关用能设备设施资产的管理，确保国有资产不流失。节能服务公司在设备移交时应保证设备正常运行，且针对移交的设备、设施、物品及有关事项，双方应签署移交清单。</w:t>
      </w:r>
    </w:p>
    <w:p w14:paraId="331C1F4D">
      <w:pPr>
        <w:spacing w:line="560" w:lineRule="exact"/>
        <w:ind w:left="0" w:leftChars="0" w:firstLine="419" w:firstLineChars="131"/>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3）如合同因故提前结束，双方应结合已执行合同期的节能服务价值，对合同未履行部分的节能服务价值合理评估，根据评估结果进行一次性结算，结算完成后移交项目资产和相关资料。</w:t>
      </w:r>
    </w:p>
    <w:p w14:paraId="7C6FA151">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14.项目服务方案需包含医院给排水、电气、空调系统及水电维修的运维方案。</w:t>
      </w:r>
    </w:p>
    <w:p w14:paraId="613D8E97">
      <w:pPr>
        <w:spacing w:line="560" w:lineRule="exact"/>
        <w:ind w:firstLine="640" w:firstLineChars="200"/>
        <w:jc w:val="left"/>
        <w:rPr>
          <w:rFonts w:hint="eastAsia" w:ascii="仿宋" w:hAnsi="仿宋" w:eastAsia="仿宋" w:cs="仿宋"/>
          <w:color w:val="auto"/>
          <w:sz w:val="32"/>
          <w:szCs w:val="32"/>
          <w:highlight w:val="none"/>
          <w:lang w:val="en-US" w:eastAsia="zh-CN"/>
        </w:rPr>
      </w:pPr>
      <w:bookmarkStart w:id="15" w:name="_GoBack"/>
      <w:r>
        <w:rPr>
          <w:rFonts w:hint="eastAsia" w:ascii="仿宋" w:hAnsi="仿宋" w:eastAsia="仿宋" w:cs="仿宋"/>
          <w:color w:val="auto"/>
          <w:sz w:val="32"/>
          <w:szCs w:val="32"/>
          <w:highlight w:val="none"/>
          <w:lang w:val="en-US" w:eastAsia="zh-CN"/>
        </w:rPr>
        <w:t>15.改造后，合同期内的平均综合节能率不低于17%。</w:t>
      </w:r>
      <w:bookmarkStart w:id="1" w:name="_Toc14751"/>
      <w:bookmarkStart w:id="2" w:name="_Toc11414"/>
      <w:bookmarkEnd w:id="15"/>
    </w:p>
    <w:bookmarkEnd w:id="1"/>
    <w:bookmarkEnd w:id="2"/>
    <w:p w14:paraId="6E4B344F">
      <w:pPr>
        <w:pStyle w:val="4"/>
        <w:bidi w:val="0"/>
        <w:rPr>
          <w:rFonts w:hint="eastAsia"/>
        </w:rPr>
      </w:pPr>
      <w:r>
        <w:rPr>
          <w:rFonts w:hint="eastAsia"/>
        </w:rPr>
        <w:t>（2）商务要求</w:t>
      </w:r>
    </w:p>
    <w:bookmarkEnd w:id="0"/>
    <w:p w14:paraId="51163161">
      <w:pPr>
        <w:ind w:left="2558" w:leftChars="304" w:hanging="1920" w:hangingChars="600"/>
        <w:rPr>
          <w:rFonts w:hint="eastAsia" w:ascii="仿宋" w:hAnsi="仿宋" w:eastAsia="仿宋" w:cs="仿宋"/>
          <w:sz w:val="32"/>
          <w:szCs w:val="32"/>
          <w:highlight w:val="none"/>
          <w:u w:val="none"/>
          <w:lang w:val="en-US" w:eastAsia="zh-CN"/>
        </w:rPr>
      </w:pPr>
      <w:r>
        <w:rPr>
          <w:rFonts w:hint="eastAsia" w:ascii="仿宋" w:hAnsi="仿宋" w:eastAsia="仿宋" w:cs="仿宋"/>
          <w:i w:val="0"/>
          <w:iCs/>
          <w:color w:val="auto"/>
          <w:sz w:val="32"/>
          <w:szCs w:val="32"/>
          <w:u w:val="none"/>
          <w:lang w:val="en-US" w:eastAsia="zh-CN"/>
        </w:rPr>
        <w:t>1、采购范围：</w:t>
      </w:r>
      <w:r>
        <w:rPr>
          <w:rFonts w:hint="eastAsia" w:ascii="仿宋" w:hAnsi="仿宋" w:eastAsia="仿宋" w:cs="仿宋"/>
          <w:color w:val="auto"/>
          <w:sz w:val="32"/>
          <w:szCs w:val="32"/>
          <w:u w:val="none"/>
          <w:lang w:eastAsia="zh-CN"/>
        </w:rPr>
        <w:t>平顶山市</w:t>
      </w:r>
      <w:r>
        <w:rPr>
          <w:rFonts w:hint="eastAsia" w:ascii="仿宋" w:hAnsi="仿宋" w:eastAsia="仿宋" w:cs="仿宋"/>
          <w:color w:val="auto"/>
          <w:sz w:val="32"/>
          <w:szCs w:val="32"/>
          <w:u w:val="none"/>
          <w:lang w:val="en-US" w:eastAsia="zh-CN"/>
        </w:rPr>
        <w:t>第一人民医院</w:t>
      </w:r>
      <w:r>
        <w:rPr>
          <w:rFonts w:hint="eastAsia" w:ascii="仿宋" w:hAnsi="仿宋" w:eastAsia="仿宋" w:cs="仿宋"/>
          <w:b w:val="0"/>
          <w:bCs/>
          <w:w w:val="98"/>
          <w:sz w:val="32"/>
          <w:szCs w:val="32"/>
          <w:highlight w:val="none"/>
          <w:u w:val="none"/>
          <w:lang w:eastAsia="zh-CN"/>
        </w:rPr>
        <w:t>优越路院区</w:t>
      </w:r>
    </w:p>
    <w:p w14:paraId="224882F1">
      <w:pPr>
        <w:spacing w:line="560" w:lineRule="exact"/>
        <w:ind w:firstLine="640" w:firstLineChars="200"/>
        <w:jc w:val="left"/>
        <w:rPr>
          <w:rFonts w:hint="eastAsia" w:ascii="仿宋" w:hAnsi="仿宋" w:eastAsia="仿宋" w:cs="仿宋"/>
          <w:i w:val="0"/>
          <w:iCs/>
          <w:color w:val="auto"/>
          <w:sz w:val="32"/>
          <w:szCs w:val="32"/>
          <w:u w:val="none"/>
          <w:lang w:val="en-US" w:eastAsia="zh-CN"/>
        </w:rPr>
      </w:pPr>
      <w:r>
        <w:rPr>
          <w:rFonts w:hint="eastAsia" w:ascii="仿宋" w:hAnsi="仿宋" w:eastAsia="仿宋" w:cs="仿宋"/>
          <w:i w:val="0"/>
          <w:iCs/>
          <w:color w:val="auto"/>
          <w:sz w:val="32"/>
          <w:szCs w:val="32"/>
          <w:u w:val="none"/>
          <w:lang w:val="en-US" w:eastAsia="zh-CN"/>
        </w:rPr>
        <w:t>2、资金来源：自筹</w:t>
      </w:r>
    </w:p>
    <w:p w14:paraId="78744EB6">
      <w:pPr>
        <w:spacing w:line="560" w:lineRule="exact"/>
        <w:ind w:firstLine="640" w:firstLineChars="200"/>
        <w:jc w:val="left"/>
        <w:rPr>
          <w:rFonts w:hint="eastAsia" w:ascii="仿宋" w:hAnsi="仿宋" w:eastAsia="仿宋" w:cs="仿宋"/>
          <w:i w:val="0"/>
          <w:iCs/>
          <w:color w:val="auto"/>
          <w:sz w:val="32"/>
          <w:szCs w:val="32"/>
          <w:u w:val="none"/>
          <w:lang w:val="en-US" w:eastAsia="zh-CN"/>
        </w:rPr>
      </w:pPr>
      <w:r>
        <w:rPr>
          <w:rFonts w:hint="eastAsia" w:ascii="仿宋" w:hAnsi="仿宋" w:eastAsia="仿宋" w:cs="仿宋"/>
          <w:i w:val="0"/>
          <w:iCs/>
          <w:color w:val="auto"/>
          <w:sz w:val="32"/>
          <w:szCs w:val="32"/>
          <w:u w:val="none"/>
          <w:lang w:val="en-US" w:eastAsia="zh-CN"/>
        </w:rPr>
        <w:t>3、服务地点：</w:t>
      </w:r>
      <w:r>
        <w:rPr>
          <w:rFonts w:hint="eastAsia" w:ascii="仿宋" w:hAnsi="仿宋" w:eastAsia="仿宋" w:cs="仿宋"/>
          <w:color w:val="auto"/>
          <w:sz w:val="32"/>
          <w:szCs w:val="32"/>
          <w:u w:val="none"/>
          <w:lang w:eastAsia="zh-CN"/>
        </w:rPr>
        <w:t>平顶山市</w:t>
      </w:r>
      <w:r>
        <w:rPr>
          <w:rFonts w:hint="eastAsia" w:ascii="仿宋" w:hAnsi="仿宋" w:eastAsia="仿宋" w:cs="仿宋"/>
          <w:color w:val="auto"/>
          <w:sz w:val="32"/>
          <w:szCs w:val="32"/>
          <w:u w:val="none"/>
          <w:lang w:val="en-US" w:eastAsia="zh-CN"/>
        </w:rPr>
        <w:t>第一人民医院优越路院区</w:t>
      </w:r>
    </w:p>
    <w:p w14:paraId="4EE8FAB9">
      <w:pPr>
        <w:spacing w:line="560" w:lineRule="exact"/>
        <w:ind w:firstLine="640" w:firstLineChars="200"/>
        <w:jc w:val="left"/>
        <w:rPr>
          <w:rFonts w:hint="eastAsia" w:ascii="仿宋" w:hAnsi="仿宋" w:eastAsia="仿宋" w:cs="仿宋"/>
          <w:i w:val="0"/>
          <w:iCs/>
          <w:color w:val="auto"/>
          <w:sz w:val="32"/>
          <w:szCs w:val="32"/>
          <w:u w:val="none"/>
          <w:lang w:val="en-US" w:eastAsia="zh-CN"/>
        </w:rPr>
      </w:pPr>
      <w:r>
        <w:rPr>
          <w:rFonts w:hint="eastAsia" w:ascii="仿宋" w:hAnsi="仿宋" w:eastAsia="仿宋" w:cs="仿宋"/>
          <w:i w:val="0"/>
          <w:iCs/>
          <w:color w:val="auto"/>
          <w:sz w:val="32"/>
          <w:szCs w:val="32"/>
          <w:u w:val="none"/>
          <w:lang w:val="en-US" w:eastAsia="zh-CN"/>
        </w:rPr>
        <w:t>4、服务期限：双方签订合同后，进入改造期（改造期不超过1年），改造完成并通过验收后进入托管期，托管期为10年。</w:t>
      </w:r>
    </w:p>
    <w:p w14:paraId="3CA815B4">
      <w:pPr>
        <w:spacing w:line="560" w:lineRule="exact"/>
        <w:ind w:firstLine="640" w:firstLineChars="200"/>
        <w:jc w:val="left"/>
        <w:rPr>
          <w:rFonts w:hint="eastAsia" w:ascii="仿宋" w:hAnsi="仿宋" w:eastAsia="仿宋" w:cs="仿宋"/>
          <w:i w:val="0"/>
          <w:iCs/>
          <w:color w:val="auto"/>
          <w:sz w:val="32"/>
          <w:szCs w:val="32"/>
          <w:u w:val="none"/>
          <w:lang w:val="en-US" w:eastAsia="zh-CN"/>
        </w:rPr>
      </w:pPr>
      <w:r>
        <w:rPr>
          <w:rFonts w:hint="eastAsia" w:ascii="仿宋" w:hAnsi="仿宋" w:eastAsia="仿宋" w:cs="仿宋"/>
          <w:i w:val="0"/>
          <w:iCs/>
          <w:color w:val="auto"/>
          <w:sz w:val="32"/>
          <w:szCs w:val="32"/>
          <w:u w:val="none"/>
          <w:lang w:val="en-US" w:eastAsia="zh-CN"/>
        </w:rPr>
        <w:t>5、托管费用：</w:t>
      </w:r>
    </w:p>
    <w:p w14:paraId="16A968B9">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托管能源费用（托管基准）=托管电费+托管采暖费+托管水费+托管运维费+调整费用=1223.5万元；</w:t>
      </w:r>
    </w:p>
    <w:p w14:paraId="7882494A">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各项明细如下：</w:t>
      </w:r>
    </w:p>
    <w:p w14:paraId="5D755702">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1)</w:t>
      </w:r>
      <w:r>
        <w:rPr>
          <w:rFonts w:hint="eastAsia" w:ascii="仿宋" w:hAnsi="仿宋" w:eastAsia="仿宋" w:cs="仿宋"/>
          <w:i w:val="0"/>
          <w:iCs/>
          <w:color w:val="auto"/>
          <w:sz w:val="32"/>
          <w:szCs w:val="32"/>
          <w:highlight w:val="none"/>
          <w:u w:val="none"/>
          <w:lang w:val="en-US" w:eastAsia="zh-CN"/>
        </w:rPr>
        <w:t>托管电费=托管电量*实时电价：</w:t>
      </w:r>
    </w:p>
    <w:p w14:paraId="7D8B6816">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通过分析医院近五年的用电数据和能源审计报告，取2024年、2025年2年的平均年用电量1353.8万kWh为托管电量，取2024年、2025年2年的平均电费898.5万为托管基准费用，基准电价按托管年实际平均单价结算。</w:t>
      </w:r>
    </w:p>
    <w:p w14:paraId="758AABB5">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2)</w:t>
      </w:r>
      <w:r>
        <w:rPr>
          <w:rFonts w:hint="eastAsia" w:ascii="仿宋" w:hAnsi="仿宋" w:eastAsia="仿宋" w:cs="仿宋"/>
          <w:i w:val="0"/>
          <w:iCs/>
          <w:color w:val="auto"/>
          <w:sz w:val="32"/>
          <w:szCs w:val="32"/>
          <w:highlight w:val="none"/>
          <w:u w:val="none"/>
          <w:lang w:val="en-US" w:eastAsia="zh-CN"/>
        </w:rPr>
        <w:t>托管采暖费：托管采暖费取近一年市政供热费用97.8万元（含税）。</w:t>
      </w:r>
    </w:p>
    <w:p w14:paraId="063B43ED">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3)</w:t>
      </w:r>
      <w:r>
        <w:rPr>
          <w:rFonts w:hint="eastAsia" w:ascii="仿宋" w:hAnsi="仿宋" w:eastAsia="仿宋" w:cs="仿宋"/>
          <w:i w:val="0"/>
          <w:iCs/>
          <w:color w:val="auto"/>
          <w:sz w:val="32"/>
          <w:szCs w:val="32"/>
          <w:highlight w:val="none"/>
          <w:u w:val="none"/>
          <w:lang w:val="en-US" w:eastAsia="zh-CN"/>
        </w:rPr>
        <w:t>托管水费=托管水量*自来水单价（不含污水处理费）：</w:t>
      </w:r>
    </w:p>
    <w:p w14:paraId="45B977AC">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取2024年、2025年2年的平均年用水量41.4万吨为托管水量。取2024年、2025年2年的平均自来水费136.6万为托管自来水基准费用，基准水价按托管年实际平均单价结算。</w:t>
      </w:r>
    </w:p>
    <w:p w14:paraId="62CC8396">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4)</w:t>
      </w:r>
      <w:r>
        <w:rPr>
          <w:rFonts w:hint="eastAsia" w:ascii="仿宋" w:hAnsi="仿宋" w:eastAsia="仿宋" w:cs="仿宋"/>
          <w:i w:val="0"/>
          <w:iCs/>
          <w:color w:val="auto"/>
          <w:sz w:val="32"/>
          <w:szCs w:val="32"/>
          <w:highlight w:val="none"/>
          <w:u w:val="none"/>
          <w:lang w:val="en-US" w:eastAsia="zh-CN"/>
        </w:rPr>
        <w:t>托管运维费：</w:t>
      </w:r>
    </w:p>
    <w:p w14:paraId="77C34FCE">
      <w:p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运维范围：空调系统、采暖系统，维修下送服务费等。运维费用：按市场运维合同价，考虑合同期人工材料成本增长，取平均值，暂取90.6万元。</w:t>
      </w:r>
    </w:p>
    <w:p w14:paraId="0FFD4DFF">
      <w:pPr>
        <w:numPr>
          <w:ilvl w:val="0"/>
          <w:numId w:val="4"/>
        </w:numPr>
        <w:spacing w:line="560" w:lineRule="exact"/>
        <w:ind w:left="0" w:leftChars="0" w:firstLine="419" w:firstLineChars="1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调整费用：</w:t>
      </w:r>
      <w:r>
        <w:rPr>
          <w:rFonts w:hint="eastAsia" w:ascii="仿宋" w:hAnsi="仿宋" w:eastAsia="仿宋" w:cs="仿宋"/>
          <w:i w:val="0"/>
          <w:iCs/>
          <w:color w:val="auto"/>
          <w:sz w:val="32"/>
          <w:szCs w:val="32"/>
          <w:highlight w:val="none"/>
          <w:u w:val="none"/>
          <w:lang w:val="en-US" w:eastAsia="zh-CN"/>
        </w:rPr>
        <w:t>根据用能边界变化进行相应调整，具体调整办法详见</w:t>
      </w:r>
      <w:r>
        <w:rPr>
          <w:rFonts w:hint="eastAsia" w:ascii="仿宋" w:hAnsi="仿宋" w:eastAsia="仿宋" w:cs="仿宋"/>
          <w:i w:val="0"/>
          <w:iCs/>
          <w:color w:val="auto"/>
          <w:sz w:val="32"/>
          <w:szCs w:val="32"/>
          <w:highlight w:val="none"/>
          <w:u w:val="none"/>
          <w:lang w:val="en-US" w:eastAsia="zh-CN"/>
        </w:rPr>
        <w:t>”</w:t>
      </w:r>
      <w:r>
        <w:rPr>
          <w:rFonts w:hint="eastAsia" w:ascii="仿宋" w:hAnsi="仿宋" w:eastAsia="仿宋" w:cs="仿宋"/>
          <w:i w:val="0"/>
          <w:iCs/>
          <w:color w:val="auto"/>
          <w:sz w:val="32"/>
          <w:szCs w:val="32"/>
          <w:highlight w:val="none"/>
          <w:u w:val="none"/>
          <w:lang w:val="en-US" w:eastAsia="zh-CN"/>
        </w:rPr>
        <w:t>附件二调整规则</w:t>
      </w:r>
      <w:r>
        <w:rPr>
          <w:rFonts w:hint="eastAsia" w:ascii="仿宋" w:hAnsi="仿宋" w:eastAsia="仿宋" w:cs="仿宋"/>
          <w:i w:val="0"/>
          <w:iCs/>
          <w:color w:val="auto"/>
          <w:sz w:val="32"/>
          <w:szCs w:val="32"/>
          <w:highlight w:val="none"/>
          <w:u w:val="none"/>
          <w:lang w:val="en-US" w:eastAsia="zh-CN"/>
        </w:rPr>
        <w:t>”。</w:t>
      </w:r>
    </w:p>
    <w:p w14:paraId="7CF44F46">
      <w:pPr>
        <w:numPr>
          <w:ilvl w:val="0"/>
          <w:numId w:val="0"/>
        </w:numPr>
        <w:spacing w:line="560" w:lineRule="exact"/>
        <w:ind w:left="840" w:leftChars="0" w:firstLine="0" w:firstLineChars="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kern w:val="2"/>
          <w:sz w:val="32"/>
          <w:szCs w:val="32"/>
          <w:lang w:val="en-US" w:eastAsia="zh-CN" w:bidi="ar-SA"/>
        </w:rPr>
        <w:t>6、</w:t>
      </w:r>
      <w:r>
        <w:rPr>
          <w:rFonts w:hint="eastAsia" w:ascii="仿宋" w:hAnsi="仿宋" w:eastAsia="仿宋" w:cs="仿宋"/>
          <w:i w:val="0"/>
          <w:iCs/>
          <w:color w:val="auto"/>
          <w:sz w:val="32"/>
          <w:szCs w:val="32"/>
          <w:highlight w:val="none"/>
          <w:u w:val="none"/>
          <w:lang w:val="en-US" w:eastAsia="zh-CN"/>
        </w:rPr>
        <w:t>运维要求：</w:t>
      </w:r>
    </w:p>
    <w:p w14:paraId="6069D4BF">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1）</w:t>
      </w:r>
      <w:r>
        <w:rPr>
          <w:rFonts w:hint="eastAsia" w:ascii="仿宋" w:hAnsi="仿宋" w:eastAsia="仿宋" w:cs="仿宋"/>
          <w:i w:val="0"/>
          <w:iCs/>
          <w:color w:val="auto"/>
          <w:sz w:val="32"/>
          <w:szCs w:val="32"/>
          <w:highlight w:val="none"/>
          <w:u w:val="none"/>
          <w:lang w:val="en-US" w:eastAsia="zh-CN"/>
        </w:rPr>
        <w:t>新投入设备运维</w:t>
      </w:r>
    </w:p>
    <w:p w14:paraId="3CF53E9F">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能源公司在服务期内负责对其投入的设备进行维护保养，过程中产生的维修费用由能源公司承担，保障用能设施完整且正常运行。</w:t>
      </w:r>
    </w:p>
    <w:p w14:paraId="2C56451F">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2）</w:t>
      </w:r>
      <w:r>
        <w:rPr>
          <w:rFonts w:hint="eastAsia" w:ascii="仿宋" w:hAnsi="仿宋" w:eastAsia="仿宋" w:cs="仿宋"/>
          <w:i w:val="0"/>
          <w:iCs/>
          <w:color w:val="auto"/>
          <w:sz w:val="32"/>
          <w:szCs w:val="32"/>
          <w:highlight w:val="none"/>
          <w:u w:val="none"/>
          <w:lang w:val="en-US" w:eastAsia="zh-CN"/>
        </w:rPr>
        <w:t>医院原系统运维</w:t>
      </w:r>
    </w:p>
    <w:p w14:paraId="34C9B287">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能源公司按运维费用基准，承接医院原有系统运维，运维服务质量不低于原运维合同要求主要内容如下：</w:t>
      </w:r>
    </w:p>
    <w:p w14:paraId="4B66967F">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a.</w:t>
      </w:r>
      <w:r>
        <w:rPr>
          <w:rFonts w:hint="eastAsia" w:ascii="仿宋" w:hAnsi="仿宋" w:eastAsia="仿宋" w:cs="仿宋"/>
          <w:i w:val="0"/>
          <w:iCs/>
          <w:color w:val="auto"/>
          <w:sz w:val="32"/>
          <w:szCs w:val="32"/>
          <w:highlight w:val="none"/>
          <w:u w:val="none"/>
          <w:lang w:val="en-US" w:eastAsia="zh-CN"/>
        </w:rPr>
        <w:t>甲方空调系统维修保养运营服务，包含新门急诊楼、2、3号楼、健康体检中心中央空调系统维修与保养（制冷与制热）、通风系统清洗、消毒；全院分体空调维保及空气能热水系统维修与保养；新门急诊楼、1、2、3号楼供水设施及地下空间污水泵的日常保养与维修；医院病区开水器维修保养。</w:t>
      </w:r>
    </w:p>
    <w:p w14:paraId="35E9D9F3">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b.</w:t>
      </w:r>
      <w:r>
        <w:rPr>
          <w:rFonts w:hint="eastAsia" w:ascii="仿宋" w:hAnsi="仿宋" w:eastAsia="仿宋" w:cs="仿宋"/>
          <w:i w:val="0"/>
          <w:iCs/>
          <w:color w:val="auto"/>
          <w:sz w:val="32"/>
          <w:szCs w:val="32"/>
          <w:highlight w:val="none"/>
          <w:u w:val="none"/>
          <w:lang w:val="en-US" w:eastAsia="zh-CN"/>
        </w:rPr>
        <w:t>维修下送服务，包括：水、电、木维修运营管理，物资下送，窨井盖维护管理承包服务，门、窗、柜子、床、吊顶、卫生间隔断卡口、合页等零星维修。</w:t>
      </w:r>
    </w:p>
    <w:p w14:paraId="33D8D626">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c.</w:t>
      </w:r>
      <w:r>
        <w:rPr>
          <w:rFonts w:hint="eastAsia" w:ascii="仿宋" w:hAnsi="仿宋" w:eastAsia="仿宋" w:cs="仿宋"/>
          <w:i w:val="0"/>
          <w:iCs/>
          <w:color w:val="auto"/>
          <w:sz w:val="32"/>
          <w:szCs w:val="32"/>
          <w:highlight w:val="none"/>
          <w:u w:val="none"/>
          <w:lang w:val="en-US" w:eastAsia="zh-CN"/>
        </w:rPr>
        <w:t>负责医院所有分体空调的维修，达到报废标准，经双方评估无法维修，由医院负责采购。</w:t>
      </w:r>
    </w:p>
    <w:p w14:paraId="442896BA">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d.</w:t>
      </w:r>
      <w:r>
        <w:rPr>
          <w:rFonts w:hint="eastAsia" w:ascii="仿宋" w:hAnsi="仿宋" w:eastAsia="仿宋" w:cs="仿宋"/>
          <w:i w:val="0"/>
          <w:iCs/>
          <w:color w:val="auto"/>
          <w:sz w:val="32"/>
          <w:szCs w:val="32"/>
          <w:highlight w:val="none"/>
          <w:u w:val="none"/>
          <w:lang w:val="en-US" w:eastAsia="zh-CN"/>
        </w:rPr>
        <w:t>负责医院节能器具的维修更换，含节能灯具，感应式水龙头，感应式脚踏阀。</w:t>
      </w:r>
    </w:p>
    <w:p w14:paraId="4E77A5DB">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e.</w:t>
      </w:r>
      <w:r>
        <w:rPr>
          <w:rFonts w:hint="eastAsia" w:ascii="仿宋" w:hAnsi="仿宋" w:eastAsia="仿宋" w:cs="仿宋"/>
          <w:i w:val="0"/>
          <w:iCs/>
          <w:color w:val="auto"/>
          <w:sz w:val="32"/>
          <w:szCs w:val="32"/>
          <w:highlight w:val="none"/>
          <w:u w:val="none"/>
          <w:lang w:val="en-US" w:eastAsia="zh-CN"/>
        </w:rPr>
        <w:t>医院净化空调、精密空调不在维保范围内。</w:t>
      </w:r>
    </w:p>
    <w:p w14:paraId="1D2496ED">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f.</w:t>
      </w:r>
      <w:r>
        <w:rPr>
          <w:rFonts w:hint="eastAsia" w:ascii="仿宋" w:hAnsi="仿宋" w:eastAsia="仿宋" w:cs="仿宋"/>
          <w:i w:val="0"/>
          <w:iCs/>
          <w:color w:val="auto"/>
          <w:sz w:val="32"/>
          <w:szCs w:val="32"/>
          <w:highlight w:val="none"/>
          <w:u w:val="none"/>
          <w:lang w:val="en-US" w:eastAsia="zh-CN"/>
        </w:rPr>
        <w:t>节能服务公司负责室内管道的维保工作，但主管道更换由医院负责。</w:t>
      </w:r>
    </w:p>
    <w:p w14:paraId="6E7DB76D">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2）运维人员配置</w:t>
      </w:r>
    </w:p>
    <w:p w14:paraId="7EFDE24F">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配备人员至少12人，其中项目经理1人、低压电工6人，高压电工2人，管工1人，木工1人，下送1人，乙方根据工作量增加维修人员按时完成维修任务。</w:t>
      </w:r>
    </w:p>
    <w:p w14:paraId="295F7020">
      <w:pPr>
        <w:numPr>
          <w:ilvl w:val="0"/>
          <w:numId w:val="5"/>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人员更换要求</w:t>
      </w:r>
    </w:p>
    <w:p w14:paraId="6405C9A1">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a.采购人或能源公司认为需要更换人员的，均应提早两周向对方申明原因，能源公司应同时提出新的符合合同要求的人选，经采购人同意并办理交接手续后方可更换。</w:t>
      </w:r>
    </w:p>
    <w:p w14:paraId="2A3E220B">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b.能源公司应当确保其工作人员在项目实施、运行的整个过程中遵守采购人的相关规章制度。</w:t>
      </w:r>
    </w:p>
    <w:p w14:paraId="046E1862">
      <w:pPr>
        <w:numPr>
          <w:ilvl w:val="0"/>
          <w:numId w:val="5"/>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考核机制</w:t>
      </w:r>
    </w:p>
    <w:p w14:paraId="10116741">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为规范医院空调系统、给排水系统、强弱电系统运维管理，保障全院医疗科室、病房、手术室、ICU、检验中心等重点区域设备设施安全、稳定、连续运行，杜绝停水、停电、空调停机故障引发医疗安全事件，明确运维人员岗位职责与工作标准，制定</w:t>
      </w:r>
      <w:r>
        <w:rPr>
          <w:rFonts w:hint="eastAsia" w:ascii="仿宋" w:hAnsi="仿宋" w:eastAsia="仿宋" w:cs="仿宋"/>
          <w:i w:val="0"/>
          <w:iCs/>
          <w:color w:val="auto"/>
          <w:sz w:val="32"/>
          <w:szCs w:val="32"/>
          <w:highlight w:val="none"/>
          <w:u w:val="none"/>
          <w:lang w:val="en-US" w:eastAsia="zh-CN"/>
        </w:rPr>
        <w:t>相应</w:t>
      </w:r>
      <w:r>
        <w:rPr>
          <w:rFonts w:hint="eastAsia" w:ascii="仿宋" w:hAnsi="仿宋" w:eastAsia="仿宋" w:cs="仿宋"/>
          <w:i w:val="0"/>
          <w:iCs/>
          <w:color w:val="auto"/>
          <w:sz w:val="32"/>
          <w:szCs w:val="32"/>
          <w:highlight w:val="none"/>
          <w:u w:val="none"/>
          <w:lang w:val="en-US" w:eastAsia="zh-CN"/>
        </w:rPr>
        <w:t>考核</w:t>
      </w:r>
      <w:r>
        <w:rPr>
          <w:rFonts w:hint="eastAsia" w:ascii="仿宋" w:hAnsi="仿宋" w:eastAsia="仿宋" w:cs="仿宋"/>
          <w:i w:val="0"/>
          <w:iCs/>
          <w:color w:val="auto"/>
          <w:sz w:val="32"/>
          <w:szCs w:val="32"/>
          <w:highlight w:val="none"/>
          <w:u w:val="none"/>
          <w:lang w:val="en-US" w:eastAsia="zh-CN"/>
        </w:rPr>
        <w:t>机制，详见“附件三运维考核机制”</w:t>
      </w:r>
      <w:r>
        <w:rPr>
          <w:rFonts w:hint="eastAsia" w:ascii="仿宋" w:hAnsi="仿宋" w:eastAsia="仿宋" w:cs="仿宋"/>
          <w:i w:val="0"/>
          <w:iCs/>
          <w:color w:val="auto"/>
          <w:sz w:val="32"/>
          <w:szCs w:val="32"/>
          <w:highlight w:val="none"/>
          <w:u w:val="none"/>
          <w:lang w:val="en-US" w:eastAsia="zh-CN"/>
        </w:rPr>
        <w:t>（最终考核标准，以双方协商确定的运维合同为准）。</w:t>
      </w:r>
    </w:p>
    <w:p w14:paraId="607E1085">
      <w:pPr>
        <w:numPr>
          <w:ilvl w:val="0"/>
          <w:numId w:val="0"/>
        </w:numPr>
        <w:spacing w:line="560" w:lineRule="exact"/>
        <w:ind w:left="0" w:leftChars="0" w:firstLine="739" w:firstLineChars="231"/>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kern w:val="2"/>
          <w:sz w:val="32"/>
          <w:szCs w:val="32"/>
          <w:lang w:val="en-US" w:eastAsia="zh-CN" w:bidi="ar-SA"/>
        </w:rPr>
        <w:t>7、</w:t>
      </w:r>
      <w:r>
        <w:rPr>
          <w:rFonts w:hint="eastAsia" w:ascii="仿宋" w:hAnsi="仿宋" w:eastAsia="仿宋" w:cs="仿宋"/>
          <w:i w:val="0"/>
          <w:iCs/>
          <w:color w:val="auto"/>
          <w:sz w:val="32"/>
          <w:szCs w:val="32"/>
          <w:highlight w:val="none"/>
          <w:u w:val="none"/>
          <w:lang w:val="en-US" w:eastAsia="zh-CN"/>
        </w:rPr>
        <w:t>风险分担机制：</w:t>
      </w:r>
    </w:p>
    <w:p w14:paraId="4EBD613D">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1）</w:t>
      </w:r>
      <w:r>
        <w:rPr>
          <w:rFonts w:hint="eastAsia" w:ascii="仿宋" w:hAnsi="仿宋" w:eastAsia="仿宋" w:cs="仿宋"/>
          <w:i w:val="0"/>
          <w:iCs/>
          <w:color w:val="auto"/>
          <w:sz w:val="32"/>
          <w:szCs w:val="32"/>
          <w:highlight w:val="none"/>
          <w:u w:val="none"/>
          <w:lang w:val="en-US" w:eastAsia="zh-CN"/>
        </w:rPr>
        <w:t>因国家、地方政策、财政预算调整等政策因素，造成院方（甲方）无法正常履行本合同，双方互不承担违约责任，应协商对项目进行变更、暂停或终止，按实际已发生投资、运维情况进行清算结算。</w:t>
      </w:r>
    </w:p>
    <w:p w14:paraId="0AE0D9A1">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2)</w:t>
      </w:r>
      <w:r>
        <w:rPr>
          <w:rFonts w:hint="eastAsia" w:ascii="仿宋" w:hAnsi="仿宋" w:eastAsia="仿宋" w:cs="仿宋"/>
          <w:i w:val="0"/>
          <w:iCs/>
          <w:color w:val="auto"/>
          <w:sz w:val="32"/>
          <w:szCs w:val="32"/>
          <w:highlight w:val="none"/>
          <w:u w:val="none"/>
          <w:lang w:val="en-US" w:eastAsia="zh-CN"/>
        </w:rPr>
        <w:t>因节能服务公司（乙方）自身运营管理、技术运维能力不足，造成无法履约、供能不达标、节能指标达不到合同约定，由乙方承担全部责任，负责整改、赔偿甲方实际损失，拒不整改的甲方有权解除合同。</w:t>
      </w:r>
    </w:p>
    <w:p w14:paraId="67277C2D">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3)</w:t>
      </w:r>
      <w:r>
        <w:rPr>
          <w:rFonts w:hint="eastAsia" w:ascii="仿宋" w:hAnsi="仿宋" w:eastAsia="仿宋" w:cs="仿宋"/>
          <w:i w:val="0"/>
          <w:iCs/>
          <w:color w:val="auto"/>
          <w:sz w:val="32"/>
          <w:szCs w:val="32"/>
          <w:highlight w:val="none"/>
          <w:u w:val="none"/>
          <w:lang w:val="en-US" w:eastAsia="zh-CN"/>
        </w:rPr>
        <w:t>因医院使用管理、现场配合不到位导致项目无法正常执行，由甲方承担相应责任。</w:t>
      </w:r>
    </w:p>
    <w:p w14:paraId="1602D679">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4)</w:t>
      </w:r>
      <w:r>
        <w:rPr>
          <w:rFonts w:hint="eastAsia" w:ascii="仿宋" w:hAnsi="仿宋" w:eastAsia="仿宋" w:cs="仿宋"/>
          <w:i w:val="0"/>
          <w:iCs/>
          <w:color w:val="auto"/>
          <w:sz w:val="32"/>
          <w:szCs w:val="32"/>
          <w:highlight w:val="none"/>
          <w:u w:val="none"/>
          <w:lang w:val="en-US" w:eastAsia="zh-CN"/>
        </w:rPr>
        <w:t>因设备本身质量、技术缺陷产生的风险，由乙方承担。</w:t>
      </w:r>
    </w:p>
    <w:p w14:paraId="6860A0DC">
      <w:pPr>
        <w:numPr>
          <w:ilvl w:val="0"/>
          <w:numId w:val="0"/>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5)</w:t>
      </w:r>
      <w:r>
        <w:rPr>
          <w:rFonts w:hint="eastAsia" w:ascii="仿宋" w:hAnsi="仿宋" w:eastAsia="仿宋" w:cs="仿宋"/>
          <w:i w:val="0"/>
          <w:iCs/>
          <w:color w:val="auto"/>
          <w:sz w:val="32"/>
          <w:szCs w:val="32"/>
          <w:highlight w:val="none"/>
          <w:u w:val="none"/>
          <w:lang w:val="en-US" w:eastAsia="zh-CN"/>
        </w:rPr>
        <w:t>发生上述情形，任一方需及时书面告知对方，共同评估损失，确定后续处理方案。</w:t>
      </w:r>
    </w:p>
    <w:p w14:paraId="47C6752C">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8、验收标准：</w:t>
      </w:r>
    </w:p>
    <w:p w14:paraId="1353A23F">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1)改造验收依据</w:t>
      </w:r>
    </w:p>
    <w:tbl>
      <w:tblPr>
        <w:tblStyle w:val="17"/>
        <w:tblW w:w="8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627"/>
      </w:tblGrid>
      <w:tr w14:paraId="7B44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46E15E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序号</w:t>
            </w:r>
          </w:p>
        </w:tc>
        <w:tc>
          <w:tcPr>
            <w:tcW w:w="7627" w:type="dxa"/>
            <w:tcBorders>
              <w:top w:val="single" w:color="auto" w:sz="4" w:space="0"/>
              <w:left w:val="single" w:color="auto" w:sz="4" w:space="0"/>
              <w:bottom w:val="single" w:color="auto" w:sz="4" w:space="0"/>
              <w:right w:val="single" w:color="auto" w:sz="4" w:space="0"/>
            </w:tcBorders>
            <w:vAlign w:val="center"/>
          </w:tcPr>
          <w:p w14:paraId="2E4A810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技术规范及标准</w:t>
            </w:r>
          </w:p>
        </w:tc>
      </w:tr>
      <w:tr w14:paraId="5D91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17D49A9B">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一</w:t>
            </w:r>
          </w:p>
        </w:tc>
        <w:tc>
          <w:tcPr>
            <w:tcW w:w="7627" w:type="dxa"/>
            <w:tcBorders>
              <w:top w:val="single" w:color="auto" w:sz="4" w:space="0"/>
              <w:left w:val="single" w:color="auto" w:sz="4" w:space="0"/>
              <w:bottom w:val="single" w:color="auto" w:sz="4" w:space="0"/>
              <w:right w:val="single" w:color="auto" w:sz="4" w:space="0"/>
            </w:tcBorders>
            <w:vAlign w:val="center"/>
          </w:tcPr>
          <w:p w14:paraId="523BDCC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国家和地方建筑节能法律法规体系、政策文件</w:t>
            </w:r>
          </w:p>
        </w:tc>
      </w:tr>
      <w:tr w14:paraId="06BE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44051B10">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7627" w:type="dxa"/>
            <w:tcBorders>
              <w:top w:val="single" w:color="auto" w:sz="4" w:space="0"/>
              <w:left w:val="single" w:color="auto" w:sz="4" w:space="0"/>
              <w:bottom w:val="single" w:color="auto" w:sz="4" w:space="0"/>
              <w:right w:val="single" w:color="auto" w:sz="4" w:space="0"/>
            </w:tcBorders>
            <w:vAlign w:val="center"/>
          </w:tcPr>
          <w:p w14:paraId="12EC1A6B">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《中华人民共和国节约能源法》</w:t>
            </w:r>
          </w:p>
        </w:tc>
      </w:tr>
      <w:tr w14:paraId="6DF5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4AC549D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w:t>
            </w:r>
          </w:p>
        </w:tc>
        <w:tc>
          <w:tcPr>
            <w:tcW w:w="7627" w:type="dxa"/>
            <w:tcBorders>
              <w:top w:val="single" w:color="auto" w:sz="4" w:space="0"/>
              <w:left w:val="single" w:color="auto" w:sz="4" w:space="0"/>
              <w:bottom w:val="single" w:color="auto" w:sz="4" w:space="0"/>
              <w:right w:val="single" w:color="auto" w:sz="4" w:space="0"/>
            </w:tcBorders>
            <w:vAlign w:val="center"/>
          </w:tcPr>
          <w:p w14:paraId="0DAE2CB3">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《中华人民共和国可再生能源法》</w:t>
            </w:r>
          </w:p>
        </w:tc>
      </w:tr>
      <w:tr w14:paraId="5AF2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FE131EB">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3</w:t>
            </w:r>
          </w:p>
        </w:tc>
        <w:tc>
          <w:tcPr>
            <w:tcW w:w="7627" w:type="dxa"/>
            <w:tcBorders>
              <w:top w:val="single" w:color="auto" w:sz="4" w:space="0"/>
              <w:left w:val="single" w:color="auto" w:sz="4" w:space="0"/>
              <w:bottom w:val="single" w:color="auto" w:sz="4" w:space="0"/>
              <w:right w:val="single" w:color="auto" w:sz="4" w:space="0"/>
            </w:tcBorders>
            <w:vAlign w:val="center"/>
          </w:tcPr>
          <w:p w14:paraId="7D44FEE0">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《民用建筑节能条例》</w:t>
            </w:r>
          </w:p>
        </w:tc>
      </w:tr>
      <w:tr w14:paraId="4836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312E1B8C">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4</w:t>
            </w:r>
          </w:p>
        </w:tc>
        <w:tc>
          <w:tcPr>
            <w:tcW w:w="7627" w:type="dxa"/>
            <w:tcBorders>
              <w:top w:val="single" w:color="auto" w:sz="4" w:space="0"/>
              <w:left w:val="single" w:color="auto" w:sz="4" w:space="0"/>
              <w:bottom w:val="single" w:color="auto" w:sz="4" w:space="0"/>
              <w:right w:val="single" w:color="auto" w:sz="4" w:space="0"/>
            </w:tcBorders>
            <w:vAlign w:val="center"/>
          </w:tcPr>
          <w:p w14:paraId="50E3A4D2">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《公共机构节能条例》</w:t>
            </w:r>
          </w:p>
        </w:tc>
      </w:tr>
      <w:tr w14:paraId="3C56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00186FC8">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5</w:t>
            </w:r>
          </w:p>
        </w:tc>
        <w:tc>
          <w:tcPr>
            <w:tcW w:w="7627" w:type="dxa"/>
            <w:tcBorders>
              <w:top w:val="single" w:color="auto" w:sz="4" w:space="0"/>
              <w:left w:val="single" w:color="auto" w:sz="4" w:space="0"/>
              <w:bottom w:val="single" w:color="auto" w:sz="4" w:space="0"/>
              <w:right w:val="single" w:color="auto" w:sz="4" w:space="0"/>
            </w:tcBorders>
            <w:vAlign w:val="center"/>
          </w:tcPr>
          <w:p w14:paraId="4484F923">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《建设工程质量管理条例》</w:t>
            </w:r>
          </w:p>
        </w:tc>
      </w:tr>
      <w:tr w14:paraId="0C9B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60F9EEF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6</w:t>
            </w:r>
          </w:p>
        </w:tc>
        <w:tc>
          <w:tcPr>
            <w:tcW w:w="7627" w:type="dxa"/>
            <w:tcBorders>
              <w:top w:val="single" w:color="auto" w:sz="4" w:space="0"/>
              <w:left w:val="single" w:color="auto" w:sz="4" w:space="0"/>
              <w:bottom w:val="single" w:color="auto" w:sz="4" w:space="0"/>
              <w:right w:val="single" w:color="auto" w:sz="4" w:space="0"/>
            </w:tcBorders>
            <w:vAlign w:val="center"/>
          </w:tcPr>
          <w:p w14:paraId="6F50DF8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《民用建筑节能管理规定》</w:t>
            </w:r>
          </w:p>
        </w:tc>
      </w:tr>
      <w:tr w14:paraId="78A8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3B413BF2">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7</w:t>
            </w:r>
          </w:p>
        </w:tc>
        <w:tc>
          <w:tcPr>
            <w:tcW w:w="7627" w:type="dxa"/>
            <w:tcBorders>
              <w:top w:val="single" w:color="auto" w:sz="4" w:space="0"/>
              <w:left w:val="single" w:color="auto" w:sz="4" w:space="0"/>
              <w:bottom w:val="single" w:color="auto" w:sz="4" w:space="0"/>
              <w:right w:val="single" w:color="auto" w:sz="4" w:space="0"/>
            </w:tcBorders>
            <w:vAlign w:val="center"/>
          </w:tcPr>
          <w:p w14:paraId="50A5833D">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《国务院关于印发节能减排综合性工作方案的通知》</w:t>
            </w:r>
          </w:p>
        </w:tc>
      </w:tr>
      <w:tr w14:paraId="59F8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4CB054B">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8</w:t>
            </w:r>
          </w:p>
        </w:tc>
        <w:tc>
          <w:tcPr>
            <w:tcW w:w="7627" w:type="dxa"/>
            <w:tcBorders>
              <w:top w:val="single" w:color="auto" w:sz="4" w:space="0"/>
              <w:left w:val="single" w:color="auto" w:sz="4" w:space="0"/>
              <w:bottom w:val="single" w:color="auto" w:sz="4" w:space="0"/>
              <w:right w:val="single" w:color="auto" w:sz="4" w:space="0"/>
            </w:tcBorders>
            <w:vAlign w:val="center"/>
          </w:tcPr>
          <w:p w14:paraId="2B96F9C5">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《国务院关于加强节能工作的决定》</w:t>
            </w:r>
          </w:p>
        </w:tc>
      </w:tr>
      <w:tr w14:paraId="2B3B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37FF823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二</w:t>
            </w:r>
          </w:p>
        </w:tc>
        <w:tc>
          <w:tcPr>
            <w:tcW w:w="7627" w:type="dxa"/>
            <w:tcBorders>
              <w:top w:val="single" w:color="auto" w:sz="4" w:space="0"/>
              <w:left w:val="single" w:color="auto" w:sz="4" w:space="0"/>
              <w:bottom w:val="single" w:color="auto" w:sz="4" w:space="0"/>
              <w:right w:val="single" w:color="auto" w:sz="4" w:space="0"/>
            </w:tcBorders>
            <w:vAlign w:val="center"/>
          </w:tcPr>
          <w:p w14:paraId="60334DC6">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国家既有建筑节能制度</w:t>
            </w:r>
          </w:p>
        </w:tc>
      </w:tr>
      <w:tr w14:paraId="3D78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45B7EA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7627" w:type="dxa"/>
            <w:tcBorders>
              <w:top w:val="single" w:color="auto" w:sz="4" w:space="0"/>
              <w:left w:val="single" w:color="auto" w:sz="4" w:space="0"/>
              <w:bottom w:val="single" w:color="auto" w:sz="4" w:space="0"/>
              <w:right w:val="single" w:color="auto" w:sz="4" w:space="0"/>
            </w:tcBorders>
            <w:vAlign w:val="center"/>
          </w:tcPr>
          <w:p w14:paraId="6516F9C0">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建筑能耗统计制度</w:t>
            </w:r>
          </w:p>
        </w:tc>
      </w:tr>
      <w:tr w14:paraId="4A17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461ECF7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w:t>
            </w:r>
          </w:p>
        </w:tc>
        <w:tc>
          <w:tcPr>
            <w:tcW w:w="7627" w:type="dxa"/>
            <w:tcBorders>
              <w:top w:val="single" w:color="auto" w:sz="4" w:space="0"/>
              <w:left w:val="single" w:color="auto" w:sz="4" w:space="0"/>
              <w:bottom w:val="single" w:color="auto" w:sz="4" w:space="0"/>
              <w:right w:val="single" w:color="auto" w:sz="4" w:space="0"/>
            </w:tcBorders>
            <w:vAlign w:val="center"/>
          </w:tcPr>
          <w:p w14:paraId="270A1D6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建筑物能源审计制度</w:t>
            </w:r>
          </w:p>
        </w:tc>
      </w:tr>
      <w:tr w14:paraId="7635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7C3F06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3</w:t>
            </w:r>
          </w:p>
        </w:tc>
        <w:tc>
          <w:tcPr>
            <w:tcW w:w="7627" w:type="dxa"/>
            <w:tcBorders>
              <w:top w:val="single" w:color="auto" w:sz="4" w:space="0"/>
              <w:left w:val="single" w:color="auto" w:sz="4" w:space="0"/>
              <w:bottom w:val="single" w:color="auto" w:sz="4" w:space="0"/>
              <w:right w:val="single" w:color="auto" w:sz="4" w:space="0"/>
            </w:tcBorders>
            <w:vAlign w:val="center"/>
          </w:tcPr>
          <w:p w14:paraId="32EAD68B">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政府机关办公建筑和大型公共建筑能耗调查制度</w:t>
            </w:r>
          </w:p>
        </w:tc>
      </w:tr>
      <w:tr w14:paraId="3E08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A22759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4</w:t>
            </w:r>
          </w:p>
        </w:tc>
        <w:tc>
          <w:tcPr>
            <w:tcW w:w="7627" w:type="dxa"/>
            <w:tcBorders>
              <w:top w:val="single" w:color="auto" w:sz="4" w:space="0"/>
              <w:left w:val="single" w:color="auto" w:sz="4" w:space="0"/>
              <w:bottom w:val="single" w:color="auto" w:sz="4" w:space="0"/>
              <w:right w:val="single" w:color="auto" w:sz="4" w:space="0"/>
            </w:tcBorders>
            <w:vAlign w:val="center"/>
          </w:tcPr>
          <w:p w14:paraId="1705367C">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评价与能效公示制度</w:t>
            </w:r>
          </w:p>
        </w:tc>
      </w:tr>
      <w:tr w14:paraId="3161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5439C54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5</w:t>
            </w:r>
          </w:p>
        </w:tc>
        <w:tc>
          <w:tcPr>
            <w:tcW w:w="7627" w:type="dxa"/>
            <w:tcBorders>
              <w:top w:val="single" w:color="auto" w:sz="4" w:space="0"/>
              <w:left w:val="single" w:color="auto" w:sz="4" w:space="0"/>
              <w:bottom w:val="single" w:color="auto" w:sz="4" w:space="0"/>
              <w:right w:val="single" w:color="auto" w:sz="4" w:space="0"/>
            </w:tcBorders>
            <w:vAlign w:val="center"/>
          </w:tcPr>
          <w:p w14:paraId="47520A4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建筑节能专项检查制度</w:t>
            </w:r>
          </w:p>
        </w:tc>
      </w:tr>
      <w:tr w14:paraId="3304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2F9A66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6</w:t>
            </w:r>
          </w:p>
        </w:tc>
        <w:tc>
          <w:tcPr>
            <w:tcW w:w="7627" w:type="dxa"/>
            <w:tcBorders>
              <w:top w:val="single" w:color="auto" w:sz="4" w:space="0"/>
              <w:left w:val="single" w:color="auto" w:sz="4" w:space="0"/>
              <w:bottom w:val="single" w:color="auto" w:sz="4" w:space="0"/>
              <w:right w:val="single" w:color="auto" w:sz="4" w:space="0"/>
            </w:tcBorders>
            <w:vAlign w:val="center"/>
          </w:tcPr>
          <w:p w14:paraId="3E71E90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《既有建筑节能改造技术推广目录》</w:t>
            </w:r>
          </w:p>
        </w:tc>
      </w:tr>
      <w:tr w14:paraId="0613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5403676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三</w:t>
            </w:r>
          </w:p>
        </w:tc>
        <w:tc>
          <w:tcPr>
            <w:tcW w:w="7627" w:type="dxa"/>
            <w:tcBorders>
              <w:top w:val="single" w:color="auto" w:sz="4" w:space="0"/>
              <w:left w:val="single" w:color="auto" w:sz="4" w:space="0"/>
              <w:bottom w:val="single" w:color="auto" w:sz="4" w:space="0"/>
              <w:right w:val="single" w:color="auto" w:sz="4" w:space="0"/>
            </w:tcBorders>
            <w:vAlign w:val="center"/>
          </w:tcPr>
          <w:p w14:paraId="21A30568">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国家建筑节能有关标准、规范、规程</w:t>
            </w:r>
          </w:p>
        </w:tc>
      </w:tr>
      <w:tr w14:paraId="705F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8C8C64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7627" w:type="dxa"/>
            <w:tcBorders>
              <w:top w:val="single" w:color="auto" w:sz="4" w:space="0"/>
              <w:left w:val="single" w:color="auto" w:sz="4" w:space="0"/>
              <w:bottom w:val="single" w:color="auto" w:sz="4" w:space="0"/>
              <w:right w:val="single" w:color="auto" w:sz="4" w:space="0"/>
            </w:tcBorders>
            <w:vAlign w:val="center"/>
          </w:tcPr>
          <w:p w14:paraId="396B9C7C">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《公共建筑节能设计标准》</w:t>
            </w:r>
          </w:p>
        </w:tc>
      </w:tr>
      <w:tr w14:paraId="103C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CD659C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w:t>
            </w:r>
          </w:p>
        </w:tc>
        <w:tc>
          <w:tcPr>
            <w:tcW w:w="7627" w:type="dxa"/>
            <w:tcBorders>
              <w:top w:val="single" w:color="auto" w:sz="4" w:space="0"/>
              <w:left w:val="single" w:color="auto" w:sz="4" w:space="0"/>
              <w:bottom w:val="single" w:color="auto" w:sz="4" w:space="0"/>
              <w:right w:val="single" w:color="auto" w:sz="4" w:space="0"/>
            </w:tcBorders>
            <w:vAlign w:val="center"/>
          </w:tcPr>
          <w:p w14:paraId="163F2A0C">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《公共建筑节能检测标准》</w:t>
            </w:r>
          </w:p>
        </w:tc>
      </w:tr>
      <w:tr w14:paraId="2B84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5AE62E0">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3</w:t>
            </w:r>
          </w:p>
        </w:tc>
        <w:tc>
          <w:tcPr>
            <w:tcW w:w="7627" w:type="dxa"/>
            <w:tcBorders>
              <w:top w:val="single" w:color="auto" w:sz="4" w:space="0"/>
              <w:left w:val="single" w:color="auto" w:sz="4" w:space="0"/>
              <w:bottom w:val="single" w:color="auto" w:sz="4" w:space="0"/>
              <w:right w:val="single" w:color="auto" w:sz="4" w:space="0"/>
            </w:tcBorders>
            <w:vAlign w:val="center"/>
          </w:tcPr>
          <w:p w14:paraId="0E13DFF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《公共建筑节能改造技术规范》</w:t>
            </w:r>
          </w:p>
        </w:tc>
      </w:tr>
      <w:tr w14:paraId="38E3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BBBAC6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4</w:t>
            </w:r>
          </w:p>
        </w:tc>
        <w:tc>
          <w:tcPr>
            <w:tcW w:w="7627" w:type="dxa"/>
            <w:tcBorders>
              <w:top w:val="single" w:color="auto" w:sz="4" w:space="0"/>
              <w:left w:val="single" w:color="auto" w:sz="4" w:space="0"/>
              <w:bottom w:val="single" w:color="auto" w:sz="4" w:space="0"/>
              <w:right w:val="single" w:color="auto" w:sz="4" w:space="0"/>
            </w:tcBorders>
            <w:vAlign w:val="center"/>
          </w:tcPr>
          <w:p w14:paraId="39D198E6">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《国家机关办公建筑和大型公共建筑能源审计导则》</w:t>
            </w:r>
          </w:p>
        </w:tc>
      </w:tr>
      <w:tr w14:paraId="6041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D93486D">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5</w:t>
            </w:r>
          </w:p>
        </w:tc>
        <w:tc>
          <w:tcPr>
            <w:tcW w:w="7627" w:type="dxa"/>
            <w:tcBorders>
              <w:top w:val="single" w:color="auto" w:sz="4" w:space="0"/>
              <w:left w:val="single" w:color="auto" w:sz="4" w:space="0"/>
              <w:bottom w:val="single" w:color="auto" w:sz="4" w:space="0"/>
              <w:right w:val="single" w:color="auto" w:sz="4" w:space="0"/>
            </w:tcBorders>
            <w:vAlign w:val="center"/>
          </w:tcPr>
          <w:p w14:paraId="664E2DD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《建筑节能工程施工质量验收规范》</w:t>
            </w:r>
          </w:p>
        </w:tc>
      </w:tr>
      <w:tr w14:paraId="72C4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59CD527E">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6</w:t>
            </w:r>
          </w:p>
        </w:tc>
        <w:tc>
          <w:tcPr>
            <w:tcW w:w="7627" w:type="dxa"/>
            <w:tcBorders>
              <w:top w:val="single" w:color="auto" w:sz="4" w:space="0"/>
              <w:left w:val="single" w:color="auto" w:sz="4" w:space="0"/>
              <w:bottom w:val="single" w:color="auto" w:sz="4" w:space="0"/>
              <w:right w:val="single" w:color="auto" w:sz="4" w:space="0"/>
            </w:tcBorders>
            <w:vAlign w:val="center"/>
          </w:tcPr>
          <w:p w14:paraId="34E2904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《民用建筑能耗数据采集标准》</w:t>
            </w:r>
          </w:p>
        </w:tc>
      </w:tr>
      <w:tr w14:paraId="585F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4861A9F">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7</w:t>
            </w:r>
          </w:p>
        </w:tc>
        <w:tc>
          <w:tcPr>
            <w:tcW w:w="7627" w:type="dxa"/>
            <w:tcBorders>
              <w:top w:val="single" w:color="auto" w:sz="4" w:space="0"/>
              <w:left w:val="single" w:color="auto" w:sz="4" w:space="0"/>
              <w:bottom w:val="single" w:color="auto" w:sz="4" w:space="0"/>
              <w:right w:val="single" w:color="auto" w:sz="4" w:space="0"/>
            </w:tcBorders>
            <w:vAlign w:val="center"/>
          </w:tcPr>
          <w:p w14:paraId="27B7FC8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《建筑工程施工质量验收统一标准》</w:t>
            </w:r>
          </w:p>
        </w:tc>
      </w:tr>
      <w:tr w14:paraId="3493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1E679F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8</w:t>
            </w:r>
          </w:p>
        </w:tc>
        <w:tc>
          <w:tcPr>
            <w:tcW w:w="7627" w:type="dxa"/>
            <w:tcBorders>
              <w:top w:val="single" w:color="auto" w:sz="4" w:space="0"/>
              <w:left w:val="single" w:color="auto" w:sz="4" w:space="0"/>
              <w:bottom w:val="single" w:color="auto" w:sz="4" w:space="0"/>
              <w:right w:val="single" w:color="auto" w:sz="4" w:space="0"/>
            </w:tcBorders>
            <w:vAlign w:val="center"/>
          </w:tcPr>
          <w:p w14:paraId="31E18AB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《民用建筑热工设计规范》</w:t>
            </w:r>
          </w:p>
        </w:tc>
      </w:tr>
      <w:tr w14:paraId="2C23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13BFFE5D">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9</w:t>
            </w:r>
          </w:p>
        </w:tc>
        <w:tc>
          <w:tcPr>
            <w:tcW w:w="7627" w:type="dxa"/>
            <w:tcBorders>
              <w:top w:val="single" w:color="auto" w:sz="4" w:space="0"/>
              <w:left w:val="single" w:color="auto" w:sz="4" w:space="0"/>
              <w:bottom w:val="single" w:color="auto" w:sz="4" w:space="0"/>
              <w:right w:val="single" w:color="auto" w:sz="4" w:space="0"/>
            </w:tcBorders>
            <w:vAlign w:val="center"/>
          </w:tcPr>
          <w:p w14:paraId="478DF600">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《采暖通风与空气调节设计规范》</w:t>
            </w:r>
          </w:p>
        </w:tc>
      </w:tr>
      <w:tr w14:paraId="1CB8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5C367AE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10</w:t>
            </w:r>
          </w:p>
        </w:tc>
        <w:tc>
          <w:tcPr>
            <w:tcW w:w="7627" w:type="dxa"/>
            <w:tcBorders>
              <w:top w:val="single" w:color="auto" w:sz="4" w:space="0"/>
              <w:left w:val="single" w:color="auto" w:sz="4" w:space="0"/>
              <w:bottom w:val="single" w:color="auto" w:sz="4" w:space="0"/>
              <w:right w:val="single" w:color="auto" w:sz="4" w:space="0"/>
            </w:tcBorders>
            <w:vAlign w:val="center"/>
          </w:tcPr>
          <w:p w14:paraId="3115646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《通风与空调工程施工质量验收规范》</w:t>
            </w:r>
          </w:p>
        </w:tc>
      </w:tr>
      <w:tr w14:paraId="3878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57C8A20">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11</w:t>
            </w:r>
          </w:p>
        </w:tc>
        <w:tc>
          <w:tcPr>
            <w:tcW w:w="7627" w:type="dxa"/>
            <w:tcBorders>
              <w:top w:val="single" w:color="auto" w:sz="4" w:space="0"/>
              <w:left w:val="single" w:color="auto" w:sz="4" w:space="0"/>
              <w:bottom w:val="single" w:color="auto" w:sz="4" w:space="0"/>
              <w:right w:val="single" w:color="auto" w:sz="4" w:space="0"/>
            </w:tcBorders>
            <w:vAlign w:val="center"/>
          </w:tcPr>
          <w:p w14:paraId="45CBDA0C">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《压缩机、风机、泵安装工程施工及验收规范》</w:t>
            </w:r>
          </w:p>
        </w:tc>
      </w:tr>
      <w:tr w14:paraId="5A6F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E19791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12</w:t>
            </w:r>
          </w:p>
        </w:tc>
        <w:tc>
          <w:tcPr>
            <w:tcW w:w="7627" w:type="dxa"/>
            <w:tcBorders>
              <w:top w:val="single" w:color="auto" w:sz="4" w:space="0"/>
              <w:left w:val="single" w:color="auto" w:sz="4" w:space="0"/>
              <w:bottom w:val="single" w:color="auto" w:sz="4" w:space="0"/>
              <w:right w:val="single" w:color="auto" w:sz="4" w:space="0"/>
            </w:tcBorders>
            <w:vAlign w:val="center"/>
          </w:tcPr>
          <w:p w14:paraId="0246351B">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《现场设备、工业管道焊接工程施工及验收规范》</w:t>
            </w:r>
          </w:p>
        </w:tc>
      </w:tr>
      <w:tr w14:paraId="766C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1512AA58">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13</w:t>
            </w:r>
          </w:p>
        </w:tc>
        <w:tc>
          <w:tcPr>
            <w:tcW w:w="7627" w:type="dxa"/>
            <w:tcBorders>
              <w:top w:val="single" w:color="auto" w:sz="4" w:space="0"/>
              <w:left w:val="single" w:color="auto" w:sz="4" w:space="0"/>
              <w:bottom w:val="single" w:color="auto" w:sz="4" w:space="0"/>
              <w:right w:val="single" w:color="auto" w:sz="4" w:space="0"/>
            </w:tcBorders>
            <w:vAlign w:val="center"/>
          </w:tcPr>
          <w:p w14:paraId="081DB316">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《建筑给排水及采暖工程施工质量验收规范》</w:t>
            </w:r>
          </w:p>
        </w:tc>
      </w:tr>
      <w:tr w14:paraId="7BB5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85DE57C">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14</w:t>
            </w:r>
          </w:p>
        </w:tc>
        <w:tc>
          <w:tcPr>
            <w:tcW w:w="7627" w:type="dxa"/>
            <w:tcBorders>
              <w:top w:val="single" w:color="auto" w:sz="4" w:space="0"/>
              <w:left w:val="single" w:color="auto" w:sz="4" w:space="0"/>
              <w:bottom w:val="single" w:color="auto" w:sz="4" w:space="0"/>
              <w:right w:val="single" w:color="auto" w:sz="4" w:space="0"/>
            </w:tcBorders>
            <w:vAlign w:val="center"/>
          </w:tcPr>
          <w:p w14:paraId="35398BCE">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《工业金属管道工程施工及验收规范》</w:t>
            </w:r>
          </w:p>
        </w:tc>
      </w:tr>
      <w:tr w14:paraId="0935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2C3D26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15</w:t>
            </w:r>
          </w:p>
        </w:tc>
        <w:tc>
          <w:tcPr>
            <w:tcW w:w="7627" w:type="dxa"/>
            <w:tcBorders>
              <w:top w:val="single" w:color="auto" w:sz="4" w:space="0"/>
              <w:left w:val="single" w:color="auto" w:sz="4" w:space="0"/>
              <w:bottom w:val="single" w:color="auto" w:sz="4" w:space="0"/>
              <w:right w:val="single" w:color="auto" w:sz="4" w:space="0"/>
            </w:tcBorders>
            <w:vAlign w:val="center"/>
          </w:tcPr>
          <w:p w14:paraId="5D6BBCC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《民用建筑电气设计规范》</w:t>
            </w:r>
          </w:p>
        </w:tc>
      </w:tr>
      <w:tr w14:paraId="4205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67A4ECFD">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16</w:t>
            </w:r>
          </w:p>
        </w:tc>
        <w:tc>
          <w:tcPr>
            <w:tcW w:w="7627" w:type="dxa"/>
            <w:tcBorders>
              <w:top w:val="single" w:color="auto" w:sz="4" w:space="0"/>
              <w:left w:val="single" w:color="auto" w:sz="4" w:space="0"/>
              <w:bottom w:val="single" w:color="auto" w:sz="4" w:space="0"/>
              <w:right w:val="single" w:color="auto" w:sz="4" w:space="0"/>
            </w:tcBorders>
            <w:vAlign w:val="center"/>
          </w:tcPr>
          <w:p w14:paraId="3D24A61D">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《供配电系统设计规范》</w:t>
            </w:r>
          </w:p>
        </w:tc>
      </w:tr>
      <w:tr w14:paraId="5435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66E162A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17</w:t>
            </w:r>
          </w:p>
        </w:tc>
        <w:tc>
          <w:tcPr>
            <w:tcW w:w="7627" w:type="dxa"/>
            <w:tcBorders>
              <w:top w:val="single" w:color="auto" w:sz="4" w:space="0"/>
              <w:left w:val="single" w:color="auto" w:sz="4" w:space="0"/>
              <w:bottom w:val="single" w:color="auto" w:sz="4" w:space="0"/>
              <w:right w:val="single" w:color="auto" w:sz="4" w:space="0"/>
            </w:tcBorders>
            <w:vAlign w:val="center"/>
          </w:tcPr>
          <w:p w14:paraId="6F92222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《低压配电设计规范》</w:t>
            </w:r>
          </w:p>
        </w:tc>
      </w:tr>
      <w:tr w14:paraId="4EFB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6FD09EE">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18</w:t>
            </w:r>
          </w:p>
        </w:tc>
        <w:tc>
          <w:tcPr>
            <w:tcW w:w="7627" w:type="dxa"/>
            <w:tcBorders>
              <w:top w:val="single" w:color="auto" w:sz="4" w:space="0"/>
              <w:left w:val="single" w:color="auto" w:sz="4" w:space="0"/>
              <w:bottom w:val="single" w:color="auto" w:sz="4" w:space="0"/>
              <w:right w:val="single" w:color="auto" w:sz="4" w:space="0"/>
            </w:tcBorders>
            <w:vAlign w:val="center"/>
          </w:tcPr>
          <w:p w14:paraId="5472B0F3">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《民用建筑照明设计标准》</w:t>
            </w:r>
          </w:p>
        </w:tc>
      </w:tr>
      <w:tr w14:paraId="5EF7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14A104DE">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19</w:t>
            </w:r>
          </w:p>
        </w:tc>
        <w:tc>
          <w:tcPr>
            <w:tcW w:w="7627" w:type="dxa"/>
            <w:tcBorders>
              <w:top w:val="single" w:color="auto" w:sz="4" w:space="0"/>
              <w:left w:val="single" w:color="auto" w:sz="4" w:space="0"/>
              <w:bottom w:val="single" w:color="auto" w:sz="4" w:space="0"/>
              <w:right w:val="single" w:color="auto" w:sz="4" w:space="0"/>
            </w:tcBorders>
            <w:vAlign w:val="center"/>
          </w:tcPr>
          <w:p w14:paraId="00448036">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《建筑照明设计标准》</w:t>
            </w:r>
          </w:p>
        </w:tc>
      </w:tr>
      <w:tr w14:paraId="663A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4CF7ECB3">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20</w:t>
            </w:r>
          </w:p>
        </w:tc>
        <w:tc>
          <w:tcPr>
            <w:tcW w:w="7627" w:type="dxa"/>
            <w:tcBorders>
              <w:top w:val="single" w:color="auto" w:sz="4" w:space="0"/>
              <w:left w:val="single" w:color="auto" w:sz="4" w:space="0"/>
              <w:bottom w:val="single" w:color="auto" w:sz="4" w:space="0"/>
              <w:right w:val="single" w:color="auto" w:sz="4" w:space="0"/>
            </w:tcBorders>
            <w:vAlign w:val="center"/>
          </w:tcPr>
          <w:p w14:paraId="5E405CF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《智能建筑设计标准》</w:t>
            </w:r>
          </w:p>
        </w:tc>
      </w:tr>
      <w:tr w14:paraId="39F5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79B9048F">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21</w:t>
            </w:r>
          </w:p>
        </w:tc>
        <w:tc>
          <w:tcPr>
            <w:tcW w:w="7627" w:type="dxa"/>
            <w:tcBorders>
              <w:top w:val="single" w:color="auto" w:sz="4" w:space="0"/>
              <w:left w:val="single" w:color="auto" w:sz="4" w:space="0"/>
              <w:bottom w:val="single" w:color="auto" w:sz="4" w:space="0"/>
              <w:right w:val="single" w:color="auto" w:sz="4" w:space="0"/>
            </w:tcBorders>
            <w:vAlign w:val="center"/>
          </w:tcPr>
          <w:p w14:paraId="49F0E7B2">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《电力装置的继电保护和自动装置设计规范》</w:t>
            </w:r>
          </w:p>
        </w:tc>
      </w:tr>
      <w:tr w14:paraId="5725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1963644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22</w:t>
            </w:r>
          </w:p>
        </w:tc>
        <w:tc>
          <w:tcPr>
            <w:tcW w:w="7627" w:type="dxa"/>
            <w:tcBorders>
              <w:top w:val="single" w:color="auto" w:sz="4" w:space="0"/>
              <w:left w:val="single" w:color="auto" w:sz="4" w:space="0"/>
              <w:bottom w:val="single" w:color="auto" w:sz="4" w:space="0"/>
              <w:right w:val="single" w:color="auto" w:sz="4" w:space="0"/>
            </w:tcBorders>
            <w:vAlign w:val="center"/>
          </w:tcPr>
          <w:p w14:paraId="150AB743">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《建筑与建筑群综合布线系统工程设计规范》</w:t>
            </w:r>
          </w:p>
        </w:tc>
      </w:tr>
      <w:tr w14:paraId="4099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4924258E">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23</w:t>
            </w:r>
          </w:p>
        </w:tc>
        <w:tc>
          <w:tcPr>
            <w:tcW w:w="7627" w:type="dxa"/>
            <w:tcBorders>
              <w:top w:val="single" w:color="auto" w:sz="4" w:space="0"/>
              <w:left w:val="single" w:color="auto" w:sz="4" w:space="0"/>
              <w:bottom w:val="single" w:color="auto" w:sz="4" w:space="0"/>
              <w:right w:val="single" w:color="auto" w:sz="4" w:space="0"/>
            </w:tcBorders>
            <w:vAlign w:val="center"/>
          </w:tcPr>
          <w:p w14:paraId="0AC19C65">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《自动化仪表工程施工及验收规范》</w:t>
            </w:r>
          </w:p>
        </w:tc>
      </w:tr>
      <w:tr w14:paraId="77F6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5BD300E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24</w:t>
            </w:r>
          </w:p>
        </w:tc>
        <w:tc>
          <w:tcPr>
            <w:tcW w:w="7627" w:type="dxa"/>
            <w:tcBorders>
              <w:top w:val="single" w:color="auto" w:sz="4" w:space="0"/>
              <w:left w:val="single" w:color="auto" w:sz="4" w:space="0"/>
              <w:bottom w:val="single" w:color="auto" w:sz="4" w:space="0"/>
              <w:right w:val="single" w:color="auto" w:sz="4" w:space="0"/>
            </w:tcBorders>
            <w:vAlign w:val="center"/>
          </w:tcPr>
          <w:p w14:paraId="48D6EAB2">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《智能建筑工程质量验收规范》</w:t>
            </w:r>
          </w:p>
        </w:tc>
      </w:tr>
      <w:tr w14:paraId="22A8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4A4F5279">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25</w:t>
            </w:r>
          </w:p>
        </w:tc>
        <w:tc>
          <w:tcPr>
            <w:tcW w:w="7627" w:type="dxa"/>
            <w:tcBorders>
              <w:top w:val="single" w:color="auto" w:sz="4" w:space="0"/>
              <w:left w:val="single" w:color="auto" w:sz="4" w:space="0"/>
              <w:bottom w:val="single" w:color="auto" w:sz="4" w:space="0"/>
              <w:right w:val="single" w:color="auto" w:sz="4" w:space="0"/>
            </w:tcBorders>
            <w:vAlign w:val="center"/>
          </w:tcPr>
          <w:p w14:paraId="601BB982">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《电气装置安装工程高压电器施工及验收规范》</w:t>
            </w:r>
          </w:p>
        </w:tc>
      </w:tr>
      <w:tr w14:paraId="440B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36C29FFA">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26</w:t>
            </w:r>
          </w:p>
        </w:tc>
        <w:tc>
          <w:tcPr>
            <w:tcW w:w="7627" w:type="dxa"/>
            <w:tcBorders>
              <w:top w:val="single" w:color="auto" w:sz="4" w:space="0"/>
              <w:left w:val="single" w:color="auto" w:sz="4" w:space="0"/>
              <w:bottom w:val="single" w:color="auto" w:sz="4" w:space="0"/>
              <w:right w:val="single" w:color="auto" w:sz="4" w:space="0"/>
            </w:tcBorders>
            <w:vAlign w:val="center"/>
          </w:tcPr>
          <w:p w14:paraId="63801754">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《电气装置安装工程低压电器施工及验收规范》</w:t>
            </w:r>
          </w:p>
        </w:tc>
      </w:tr>
      <w:tr w14:paraId="4A36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17790636">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27</w:t>
            </w:r>
          </w:p>
        </w:tc>
        <w:tc>
          <w:tcPr>
            <w:tcW w:w="7627" w:type="dxa"/>
            <w:tcBorders>
              <w:top w:val="single" w:color="auto" w:sz="4" w:space="0"/>
              <w:left w:val="single" w:color="auto" w:sz="4" w:space="0"/>
              <w:bottom w:val="single" w:color="auto" w:sz="4" w:space="0"/>
              <w:right w:val="single" w:color="auto" w:sz="4" w:space="0"/>
            </w:tcBorders>
            <w:vAlign w:val="center"/>
          </w:tcPr>
          <w:p w14:paraId="18EFFFD7">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《电气装置安装工程电气照明装置施工及验收规范》</w:t>
            </w:r>
          </w:p>
        </w:tc>
      </w:tr>
      <w:tr w14:paraId="4D03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ACF12E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28</w:t>
            </w:r>
          </w:p>
        </w:tc>
        <w:tc>
          <w:tcPr>
            <w:tcW w:w="7627" w:type="dxa"/>
            <w:tcBorders>
              <w:top w:val="single" w:color="auto" w:sz="4" w:space="0"/>
              <w:left w:val="single" w:color="auto" w:sz="4" w:space="0"/>
              <w:bottom w:val="single" w:color="auto" w:sz="4" w:space="0"/>
              <w:right w:val="single" w:color="auto" w:sz="4" w:space="0"/>
            </w:tcBorders>
            <w:vAlign w:val="center"/>
          </w:tcPr>
          <w:p w14:paraId="65140B51">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《电气装置安装工程盘、柜及二次回路结线施工及验收规范》</w:t>
            </w:r>
          </w:p>
        </w:tc>
      </w:tr>
      <w:tr w14:paraId="3B00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08B6B5CF">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29</w:t>
            </w:r>
          </w:p>
        </w:tc>
        <w:tc>
          <w:tcPr>
            <w:tcW w:w="7627" w:type="dxa"/>
            <w:tcBorders>
              <w:top w:val="single" w:color="auto" w:sz="4" w:space="0"/>
              <w:left w:val="single" w:color="auto" w:sz="4" w:space="0"/>
              <w:bottom w:val="single" w:color="auto" w:sz="4" w:space="0"/>
              <w:right w:val="single" w:color="auto" w:sz="4" w:space="0"/>
            </w:tcBorders>
            <w:vAlign w:val="center"/>
          </w:tcPr>
          <w:p w14:paraId="6469697D">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《电力装置的电测量仪表装置设计规范》</w:t>
            </w:r>
          </w:p>
        </w:tc>
      </w:tr>
      <w:tr w14:paraId="36CF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op w:val="single" w:color="auto" w:sz="4" w:space="0"/>
              <w:left w:val="single" w:color="auto" w:sz="4" w:space="0"/>
              <w:bottom w:val="single" w:color="auto" w:sz="4" w:space="0"/>
              <w:right w:val="single" w:color="auto" w:sz="4" w:space="0"/>
            </w:tcBorders>
            <w:vAlign w:val="center"/>
          </w:tcPr>
          <w:p w14:paraId="29237653">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四</w:t>
            </w:r>
          </w:p>
        </w:tc>
        <w:tc>
          <w:tcPr>
            <w:tcW w:w="7627" w:type="dxa"/>
            <w:tcBorders>
              <w:top w:val="single" w:color="auto" w:sz="4" w:space="0"/>
              <w:left w:val="single" w:color="auto" w:sz="4" w:space="0"/>
              <w:bottom w:val="single" w:color="auto" w:sz="4" w:space="0"/>
              <w:right w:val="single" w:color="auto" w:sz="4" w:space="0"/>
            </w:tcBorders>
            <w:vAlign w:val="center"/>
          </w:tcPr>
          <w:p w14:paraId="507F182E">
            <w:pPr>
              <w:ind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医院有关文件制度</w:t>
            </w:r>
          </w:p>
        </w:tc>
      </w:tr>
    </w:tbl>
    <w:p w14:paraId="41251E0E">
      <w:pPr>
        <w:spacing w:line="480" w:lineRule="auto"/>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2)验收标准及要求</w:t>
      </w:r>
    </w:p>
    <w:p w14:paraId="33182E29">
      <w:pPr>
        <w:spacing w:line="560" w:lineRule="exact"/>
        <w:ind w:firstLine="643" w:firstLineChars="200"/>
        <w:jc w:val="left"/>
        <w:rPr>
          <w:rFonts w:hint="eastAsia" w:ascii="仿宋" w:hAnsi="仿宋" w:eastAsia="仿宋" w:cs="仿宋"/>
          <w:b/>
          <w:bCs/>
          <w:i w:val="0"/>
          <w:iCs/>
          <w:color w:val="auto"/>
          <w:sz w:val="32"/>
          <w:szCs w:val="32"/>
          <w:highlight w:val="none"/>
          <w:u w:val="none"/>
          <w:lang w:val="en-US" w:eastAsia="zh-CN"/>
        </w:rPr>
      </w:pPr>
      <w:r>
        <w:rPr>
          <w:rFonts w:hint="eastAsia" w:ascii="仿宋" w:hAnsi="仿宋" w:eastAsia="仿宋" w:cs="仿宋"/>
          <w:b/>
          <w:bCs/>
          <w:i w:val="0"/>
          <w:iCs/>
          <w:color w:val="auto"/>
          <w:sz w:val="32"/>
          <w:szCs w:val="32"/>
          <w:highlight w:val="none"/>
          <w:u w:val="none"/>
          <w:lang w:val="en-US" w:eastAsia="zh-CN"/>
        </w:rPr>
        <w:t>改造阶段（项目建设期）标准及要求</w:t>
      </w:r>
    </w:p>
    <w:p w14:paraId="39B73CA4">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a.</w:t>
      </w:r>
      <w:r>
        <w:rPr>
          <w:rFonts w:hint="eastAsia" w:ascii="仿宋" w:hAnsi="仿宋" w:eastAsia="仿宋" w:cs="仿宋"/>
          <w:i w:val="0"/>
          <w:iCs/>
          <w:color w:val="auto"/>
          <w:sz w:val="32"/>
          <w:szCs w:val="32"/>
          <w:highlight w:val="none"/>
          <w:u w:val="none"/>
          <w:lang w:val="en-US" w:eastAsia="zh-CN"/>
        </w:rPr>
        <w:t>前期设计与图纸会审</w:t>
      </w:r>
    </w:p>
    <w:p w14:paraId="5AD0BCB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乙方（节能服务商）负责现场勘查、方案深化、施工图设计，图纸须经甲方（医院）及监理（若有）审核确认后方可施工；改造方案不得影响医院医疗业务正常运行，重要机房、管线改造须编制夜间施工专项方案，做好医患安全防护。改造内容包含设备选型清单、能耗监测计量点位图、管线布置图、消防设计专篇。</w:t>
      </w:r>
    </w:p>
    <w:p w14:paraId="0EEA8014">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b.</w:t>
      </w:r>
      <w:r>
        <w:rPr>
          <w:rFonts w:hint="eastAsia" w:ascii="仿宋" w:hAnsi="仿宋" w:eastAsia="仿宋" w:cs="仿宋"/>
          <w:i w:val="0"/>
          <w:iCs/>
          <w:color w:val="auto"/>
          <w:sz w:val="32"/>
          <w:szCs w:val="32"/>
          <w:highlight w:val="none"/>
          <w:u w:val="none"/>
          <w:lang w:val="en-US" w:eastAsia="zh-CN"/>
        </w:rPr>
        <w:t>设备材料进场验收</w:t>
      </w:r>
    </w:p>
    <w:p w14:paraId="37788FF1">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所有设备、管材、仪表、充电桩、监测采集器进场时，乙方提供合格证、检测报告、3C认证、能效标识等资料；甲方可抽样核验，不合格材料严禁进场。计量表具（电表、水表）必须经法定计量机构检定合格。</w:t>
      </w:r>
    </w:p>
    <w:p w14:paraId="7CFEEB54">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c.</w:t>
      </w:r>
      <w:r>
        <w:rPr>
          <w:rFonts w:hint="eastAsia" w:ascii="仿宋" w:hAnsi="仿宋" w:eastAsia="仿宋" w:cs="仿宋"/>
          <w:i w:val="0"/>
          <w:iCs/>
          <w:color w:val="auto"/>
          <w:sz w:val="32"/>
          <w:szCs w:val="32"/>
          <w:highlight w:val="none"/>
          <w:u w:val="none"/>
          <w:lang w:val="en-US" w:eastAsia="zh-CN"/>
        </w:rPr>
        <w:t>施工与安全管理</w:t>
      </w:r>
    </w:p>
    <w:p w14:paraId="05959780">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乙方为施工安全第一责任人，落实现场安全、防火、临时用电、成品保护；施工期间降噪、防尘，设置警示标识，保护医院原有建筑、管线、医疗设备。施工全过程接受甲方、监理监督，重大变更须书面报批。</w:t>
      </w:r>
    </w:p>
    <w:p w14:paraId="11D4CBE5">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d.</w:t>
      </w:r>
      <w:r>
        <w:rPr>
          <w:rFonts w:hint="eastAsia" w:ascii="仿宋" w:hAnsi="仿宋" w:eastAsia="仿宋" w:cs="仿宋"/>
          <w:i w:val="0"/>
          <w:iCs/>
          <w:color w:val="auto"/>
          <w:sz w:val="32"/>
          <w:szCs w:val="32"/>
          <w:highlight w:val="none"/>
          <w:u w:val="none"/>
          <w:lang w:val="en-US" w:eastAsia="zh-CN"/>
        </w:rPr>
        <w:t>单机调试、系统联调与完工自检</w:t>
      </w:r>
    </w:p>
    <w:p w14:paraId="705D69B8">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设备安装完成后开展单机调试，完成整个能源系统联调，能耗监测平台实现数据实时采集、存储、分项统计。乙方组织完工自检，自检合格后向甲方提交竣工资料，申请完工验收。</w:t>
      </w:r>
    </w:p>
    <w:p w14:paraId="4C0EEDA8">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e.</w:t>
      </w:r>
      <w:r>
        <w:rPr>
          <w:rFonts w:hint="eastAsia" w:ascii="仿宋" w:hAnsi="仿宋" w:eastAsia="仿宋" w:cs="仿宋"/>
          <w:i w:val="0"/>
          <w:iCs/>
          <w:color w:val="auto"/>
          <w:sz w:val="32"/>
          <w:szCs w:val="32"/>
          <w:highlight w:val="none"/>
          <w:u w:val="none"/>
          <w:lang w:val="en-US" w:eastAsia="zh-CN"/>
        </w:rPr>
        <w:t>完工验收（改造阶段竣工验收）</w:t>
      </w:r>
    </w:p>
    <w:p w14:paraId="4C660BA3">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f.</w:t>
      </w:r>
      <w:r>
        <w:rPr>
          <w:rFonts w:hint="eastAsia" w:ascii="仿宋" w:hAnsi="仿宋" w:eastAsia="仿宋" w:cs="仿宋"/>
          <w:i w:val="0"/>
          <w:iCs/>
          <w:color w:val="auto"/>
          <w:sz w:val="32"/>
          <w:szCs w:val="32"/>
          <w:highlight w:val="none"/>
          <w:u w:val="none"/>
          <w:lang w:val="en-US" w:eastAsia="zh-CN"/>
        </w:rPr>
        <w:t>验收资料：竣工图纸、设备台账、说明书、检定证书、竣工报告、调试记录、隐蔽工程记录、消防验收资料等。</w:t>
      </w:r>
    </w:p>
    <w:p w14:paraId="6F5684BF">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g.</w:t>
      </w:r>
      <w:r>
        <w:rPr>
          <w:rFonts w:hint="eastAsia" w:ascii="仿宋" w:hAnsi="仿宋" w:eastAsia="仿宋" w:cs="仿宋"/>
          <w:i w:val="0"/>
          <w:iCs/>
          <w:color w:val="auto"/>
          <w:sz w:val="32"/>
          <w:szCs w:val="32"/>
          <w:highlight w:val="none"/>
          <w:u w:val="none"/>
          <w:lang w:val="en-US" w:eastAsia="zh-CN"/>
        </w:rPr>
        <w:t>验收合格，签署《项目完工验收证书》，进入试运行期（一般3个月）。</w:t>
      </w:r>
    </w:p>
    <w:p w14:paraId="373B8BB1">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2)</w:t>
      </w:r>
      <w:r>
        <w:rPr>
          <w:rFonts w:hint="eastAsia" w:ascii="仿宋" w:hAnsi="仿宋" w:eastAsia="仿宋" w:cs="仿宋"/>
          <w:i w:val="0"/>
          <w:iCs/>
          <w:color w:val="auto"/>
          <w:sz w:val="32"/>
          <w:szCs w:val="32"/>
          <w:highlight w:val="none"/>
          <w:u w:val="none"/>
          <w:lang w:val="en-US" w:eastAsia="zh-CN"/>
        </w:rPr>
        <w:t>运维阶段标准及要求</w:t>
      </w:r>
    </w:p>
    <w:p w14:paraId="7FFECB3B">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a.</w:t>
      </w:r>
      <w:r>
        <w:rPr>
          <w:rFonts w:hint="eastAsia" w:ascii="仿宋" w:hAnsi="仿宋" w:eastAsia="仿宋" w:cs="仿宋"/>
          <w:i w:val="0"/>
          <w:iCs/>
          <w:color w:val="auto"/>
          <w:sz w:val="32"/>
          <w:szCs w:val="32"/>
          <w:highlight w:val="none"/>
          <w:u w:val="none"/>
          <w:lang w:val="en-US" w:eastAsia="zh-CN"/>
        </w:rPr>
        <w:t>运维主体：乙方负责合同期内全部改造设备、充电桩、能耗监测平台的运维、保养、备件更换、故障抢修，承担全部运维费用。</w:t>
      </w:r>
    </w:p>
    <w:p w14:paraId="17DFA572">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b.</w:t>
      </w:r>
      <w:r>
        <w:rPr>
          <w:rFonts w:hint="eastAsia" w:ascii="仿宋" w:hAnsi="仿宋" w:eastAsia="仿宋" w:cs="仿宋"/>
          <w:i w:val="0"/>
          <w:iCs/>
          <w:color w:val="auto"/>
          <w:sz w:val="32"/>
          <w:szCs w:val="32"/>
          <w:highlight w:val="none"/>
          <w:u w:val="none"/>
          <w:lang w:val="en-US" w:eastAsia="zh-CN"/>
        </w:rPr>
        <w:t>日常运维要求</w:t>
      </w:r>
    </w:p>
    <w:p w14:paraId="19557CD5">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建立设备台账、巡检台账、能耗日报/月报；按设备手册制定季度/年度预防性保养计划；派驻专职运维人员驻场或7×24小时响应。医院核心能源设备故障30分钟响应，一般故障4小时修复，保障医疗用能不间断。</w:t>
      </w:r>
    </w:p>
    <w:p w14:paraId="5C5A5D58">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c.</w:t>
      </w:r>
      <w:r>
        <w:rPr>
          <w:rFonts w:hint="eastAsia" w:ascii="仿宋" w:hAnsi="仿宋" w:eastAsia="仿宋" w:cs="仿宋"/>
          <w:i w:val="0"/>
          <w:iCs/>
          <w:color w:val="auto"/>
          <w:sz w:val="32"/>
          <w:szCs w:val="32"/>
          <w:highlight w:val="none"/>
          <w:u w:val="none"/>
          <w:lang w:val="en-US" w:eastAsia="zh-CN"/>
        </w:rPr>
        <w:t>能耗监测与数据管理</w:t>
      </w:r>
    </w:p>
    <w:p w14:paraId="0CB62A1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能耗监测系统连续采集电、水、热等数据，数据保存周期不少于合同期限；计量系统故障乙方须在48h内修复；数据作为节能量核算唯一基础。每月双方共同读取计量数据，签署月度能耗确认单。</w:t>
      </w:r>
    </w:p>
    <w:p w14:paraId="7113E22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e.</w:t>
      </w:r>
      <w:r>
        <w:rPr>
          <w:rFonts w:hint="eastAsia" w:ascii="仿宋" w:hAnsi="仿宋" w:eastAsia="仿宋" w:cs="仿宋"/>
          <w:i w:val="0"/>
          <w:iCs/>
          <w:color w:val="auto"/>
          <w:sz w:val="32"/>
          <w:szCs w:val="32"/>
          <w:highlight w:val="none"/>
          <w:u w:val="none"/>
          <w:lang w:val="en-US" w:eastAsia="zh-CN"/>
        </w:rPr>
        <w:t>安全管理</w:t>
      </w:r>
    </w:p>
    <w:p w14:paraId="07514D34">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定期消防、电气安全检查；充电桩、充电棚按规范巡检；运维作业遵守医院后勤安全管理制度。</w:t>
      </w:r>
    </w:p>
    <w:p w14:paraId="5795CCBB">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f.</w:t>
      </w:r>
      <w:r>
        <w:rPr>
          <w:rFonts w:hint="eastAsia" w:ascii="仿宋" w:hAnsi="仿宋" w:eastAsia="仿宋" w:cs="仿宋"/>
          <w:i w:val="0"/>
          <w:iCs/>
          <w:color w:val="auto"/>
          <w:sz w:val="32"/>
          <w:szCs w:val="32"/>
          <w:highlight w:val="none"/>
          <w:u w:val="none"/>
          <w:lang w:val="en-US" w:eastAsia="zh-CN"/>
        </w:rPr>
        <w:t>运维考核</w:t>
      </w:r>
    </w:p>
    <w:p w14:paraId="7D075AE2">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因乙方运维不当造成能耗异常升高、设备停机，由乙方承担损失，在节能收益结算中扣减；发生重大安全事故，甲方有权按合同追责。</w:t>
      </w:r>
    </w:p>
    <w:p w14:paraId="52C30E11">
      <w:pPr>
        <w:numPr>
          <w:ilvl w:val="0"/>
          <w:numId w:val="6"/>
        </w:num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节能量验收标准及要求</w:t>
      </w:r>
    </w:p>
    <w:p w14:paraId="15EEFC25">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a.</w:t>
      </w:r>
      <w:r>
        <w:rPr>
          <w:rFonts w:hint="eastAsia" w:ascii="仿宋" w:hAnsi="仿宋" w:eastAsia="仿宋" w:cs="仿宋"/>
          <w:i w:val="0"/>
          <w:iCs/>
          <w:color w:val="auto"/>
          <w:sz w:val="32"/>
          <w:szCs w:val="32"/>
          <w:highlight w:val="none"/>
          <w:u w:val="none"/>
          <w:lang w:val="en-US" w:eastAsia="zh-CN"/>
        </w:rPr>
        <w:t>年度节能量验收（每年开展一次）</w:t>
      </w:r>
    </w:p>
    <w:p w14:paraId="390F0316">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周期：每个合同年度末开展年度节能量验收；</w:t>
      </w:r>
    </w:p>
    <w:p w14:paraId="563078FF">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方法：对比经修正后的实际能耗与基准能耗，计算年度节约能耗、节能费用；</w:t>
      </w:r>
      <w:r>
        <w:rPr>
          <w:rFonts w:hint="eastAsia" w:ascii="仿宋" w:hAnsi="仿宋" w:eastAsia="仿宋" w:cs="仿宋"/>
          <w:i w:val="0"/>
          <w:iCs/>
          <w:color w:val="auto"/>
          <w:sz w:val="32"/>
          <w:szCs w:val="32"/>
          <w:highlight w:val="none"/>
          <w:u w:val="none"/>
          <w:lang w:val="en-US" w:eastAsia="zh-CN"/>
        </w:rPr>
        <w:t>节能费用=托管基准费用-实际发生能耗费用±能源调整费用；节能率=节能费用÷托管基准费用；</w:t>
      </w:r>
    </w:p>
    <w:p w14:paraId="73886942">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资料：全年能耗监测原始数据、边界条件说明、气象数据、医院业务量统计、</w:t>
      </w:r>
      <w:r>
        <w:rPr>
          <w:rFonts w:hint="eastAsia" w:ascii="仿宋" w:hAnsi="仿宋" w:eastAsia="仿宋" w:cs="仿宋"/>
          <w:i w:val="0"/>
          <w:iCs/>
          <w:color w:val="auto"/>
          <w:sz w:val="32"/>
          <w:szCs w:val="32"/>
          <w:highlight w:val="none"/>
          <w:u w:val="none"/>
          <w:lang w:val="en-US" w:eastAsia="zh-CN"/>
        </w:rPr>
        <w:t>用冷量、用热量数据</w:t>
      </w:r>
      <w:r>
        <w:rPr>
          <w:rFonts w:hint="eastAsia" w:ascii="仿宋" w:hAnsi="仿宋" w:eastAsia="仿宋" w:cs="仿宋"/>
          <w:i w:val="0"/>
          <w:iCs/>
          <w:color w:val="auto"/>
          <w:sz w:val="32"/>
          <w:szCs w:val="32"/>
          <w:highlight w:val="none"/>
          <w:u w:val="none"/>
          <w:lang w:val="en-US" w:eastAsia="zh-CN"/>
        </w:rPr>
        <w:t>；</w:t>
      </w:r>
    </w:p>
    <w:p w14:paraId="0D1BC7E3">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b.</w:t>
      </w:r>
      <w:r>
        <w:rPr>
          <w:rFonts w:hint="eastAsia" w:ascii="仿宋" w:hAnsi="仿宋" w:eastAsia="仿宋" w:cs="仿宋"/>
          <w:i w:val="0"/>
          <w:iCs/>
          <w:color w:val="auto"/>
          <w:sz w:val="32"/>
          <w:szCs w:val="32"/>
          <w:highlight w:val="none"/>
          <w:u w:val="none"/>
          <w:lang w:val="en-US" w:eastAsia="zh-CN"/>
        </w:rPr>
        <w:t>保底与超额机制：</w:t>
      </w:r>
    </w:p>
    <w:p w14:paraId="30A45B07">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①年度实际节能率≤</w:t>
      </w:r>
      <w:r>
        <w:rPr>
          <w:rFonts w:hint="eastAsia" w:ascii="仿宋" w:hAnsi="仿宋" w:eastAsia="仿宋" w:cs="仿宋"/>
          <w:i w:val="0"/>
          <w:iCs/>
          <w:color w:val="auto"/>
          <w:sz w:val="32"/>
          <w:szCs w:val="32"/>
          <w:highlight w:val="none"/>
          <w:u w:val="none"/>
          <w:lang w:val="en-US" w:eastAsia="zh-CN"/>
        </w:rPr>
        <w:t>目标</w:t>
      </w:r>
      <w:r>
        <w:rPr>
          <w:rFonts w:hint="eastAsia" w:ascii="仿宋" w:hAnsi="仿宋" w:eastAsia="仿宋" w:cs="仿宋"/>
          <w:i w:val="0"/>
          <w:iCs/>
          <w:color w:val="auto"/>
          <w:sz w:val="32"/>
          <w:szCs w:val="32"/>
          <w:highlight w:val="none"/>
          <w:u w:val="none"/>
          <w:lang w:val="en-US" w:eastAsia="zh-CN"/>
        </w:rPr>
        <w:t>节能率，</w:t>
      </w:r>
      <w:r>
        <w:rPr>
          <w:rFonts w:hint="eastAsia" w:ascii="仿宋" w:hAnsi="仿宋" w:eastAsia="仿宋" w:cs="仿宋"/>
          <w:i w:val="0"/>
          <w:iCs/>
          <w:color w:val="auto"/>
          <w:sz w:val="32"/>
          <w:szCs w:val="32"/>
          <w:highlight w:val="none"/>
          <w:u w:val="none"/>
          <w:lang w:val="en-US" w:eastAsia="zh-CN"/>
        </w:rPr>
        <w:t>由节能服务公司兜底</w:t>
      </w:r>
      <w:r>
        <w:rPr>
          <w:rFonts w:hint="eastAsia" w:ascii="仿宋" w:hAnsi="仿宋" w:eastAsia="仿宋" w:cs="仿宋"/>
          <w:i w:val="0"/>
          <w:iCs/>
          <w:color w:val="auto"/>
          <w:sz w:val="32"/>
          <w:szCs w:val="32"/>
          <w:highlight w:val="none"/>
          <w:u w:val="none"/>
          <w:lang w:val="en-US" w:eastAsia="zh-CN"/>
        </w:rPr>
        <w:t>；</w:t>
      </w:r>
    </w:p>
    <w:p w14:paraId="369189B8">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②年度实际节能率＞</w:t>
      </w:r>
      <w:r>
        <w:rPr>
          <w:rFonts w:hint="eastAsia" w:ascii="仿宋" w:hAnsi="仿宋" w:eastAsia="仿宋" w:cs="仿宋"/>
          <w:i w:val="0"/>
          <w:iCs/>
          <w:color w:val="auto"/>
          <w:sz w:val="32"/>
          <w:szCs w:val="32"/>
          <w:highlight w:val="none"/>
          <w:u w:val="none"/>
          <w:lang w:val="en-US" w:eastAsia="zh-CN"/>
        </w:rPr>
        <w:t>目标</w:t>
      </w:r>
      <w:r>
        <w:rPr>
          <w:rFonts w:hint="eastAsia" w:ascii="仿宋" w:hAnsi="仿宋" w:eastAsia="仿宋" w:cs="仿宋"/>
          <w:i w:val="0"/>
          <w:iCs/>
          <w:color w:val="auto"/>
          <w:sz w:val="32"/>
          <w:szCs w:val="32"/>
          <w:highlight w:val="none"/>
          <w:u w:val="none"/>
          <w:lang w:val="en-US" w:eastAsia="zh-CN"/>
        </w:rPr>
        <w:t>节能率，</w:t>
      </w:r>
      <w:r>
        <w:rPr>
          <w:rFonts w:hint="eastAsia" w:ascii="仿宋" w:hAnsi="仿宋" w:eastAsia="仿宋" w:cs="仿宋"/>
          <w:i w:val="0"/>
          <w:iCs/>
          <w:color w:val="auto"/>
          <w:sz w:val="32"/>
          <w:szCs w:val="32"/>
          <w:highlight w:val="none"/>
          <w:u w:val="none"/>
          <w:lang w:val="en-US" w:eastAsia="zh-CN"/>
        </w:rPr>
        <w:t>就</w:t>
      </w:r>
      <w:r>
        <w:rPr>
          <w:rFonts w:hint="eastAsia" w:ascii="仿宋" w:hAnsi="仿宋" w:eastAsia="仿宋" w:cs="仿宋"/>
          <w:i w:val="0"/>
          <w:iCs/>
          <w:color w:val="auto"/>
          <w:sz w:val="32"/>
          <w:szCs w:val="32"/>
          <w:highlight w:val="none"/>
          <w:u w:val="none"/>
          <w:lang w:val="en-US" w:eastAsia="zh-CN"/>
        </w:rPr>
        <w:t>超额节能收益，分享比例为医院与节能服务公司各占50%（参照新乡市机关事务中心人民路综合楼+市民中心综合楼能源托管）。</w:t>
      </w:r>
    </w:p>
    <w:p w14:paraId="6EF0D21E">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c.</w:t>
      </w:r>
      <w:r>
        <w:rPr>
          <w:rFonts w:hint="eastAsia" w:ascii="仿宋" w:hAnsi="仿宋" w:eastAsia="仿宋" w:cs="仿宋"/>
          <w:i w:val="0"/>
          <w:iCs/>
          <w:color w:val="auto"/>
          <w:sz w:val="32"/>
          <w:szCs w:val="32"/>
          <w:highlight w:val="none"/>
          <w:u w:val="none"/>
          <w:lang w:val="en-US" w:eastAsia="zh-CN"/>
        </w:rPr>
        <w:t>验收流程</w:t>
      </w:r>
    </w:p>
    <w:p w14:paraId="48889E4B">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乙方提交年度节能量报告→甲方审核；存在争议时，双方共同委托第三方节能检测机构开展核验，第三方结论作为最终结算依据，第三方费用按合同约定承担。</w:t>
      </w:r>
    </w:p>
    <w:p w14:paraId="5874A6C6">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成果文件：《年度节能量验收确认报告》，双方签字，作为当年节能收益结算凭证。</w:t>
      </w:r>
    </w:p>
    <w:p w14:paraId="506950C9">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4)</w:t>
      </w:r>
      <w:r>
        <w:rPr>
          <w:rFonts w:hint="eastAsia" w:ascii="仿宋" w:hAnsi="仿宋" w:eastAsia="仿宋" w:cs="仿宋"/>
          <w:i w:val="0"/>
          <w:iCs/>
          <w:color w:val="auto"/>
          <w:sz w:val="32"/>
          <w:szCs w:val="32"/>
          <w:highlight w:val="none"/>
          <w:u w:val="none"/>
          <w:lang w:val="en-US" w:eastAsia="zh-CN"/>
        </w:rPr>
        <w:t>合同到期资产移交验收标准及要求</w:t>
      </w:r>
    </w:p>
    <w:p w14:paraId="46F3E6D0">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合同期满，全部改造设备无偿移交甲方（医院），移交验收为资产最终验收。</w:t>
      </w:r>
    </w:p>
    <w:p w14:paraId="70025A22">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a.</w:t>
      </w:r>
      <w:r>
        <w:rPr>
          <w:rFonts w:hint="eastAsia" w:ascii="仿宋" w:hAnsi="仿宋" w:eastAsia="仿宋" w:cs="仿宋"/>
          <w:i w:val="0"/>
          <w:iCs/>
          <w:color w:val="auto"/>
          <w:sz w:val="32"/>
          <w:szCs w:val="32"/>
          <w:highlight w:val="none"/>
          <w:u w:val="none"/>
          <w:lang w:val="en-US" w:eastAsia="zh-CN"/>
        </w:rPr>
        <w:t>移交前提条件</w:t>
      </w:r>
    </w:p>
    <w:p w14:paraId="18CE342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①合同全部履约完毕，所有节能收益结算完成，无未解决纠纷；</w:t>
      </w:r>
    </w:p>
    <w:p w14:paraId="0ECF4F4C">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②全部改造设备正常运行，无重大缺陷；能耗监测平台完整可用，历史能耗数据完整归档。</w:t>
      </w:r>
    </w:p>
    <w:p w14:paraId="5424AD7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b.</w:t>
      </w:r>
      <w:r>
        <w:rPr>
          <w:rFonts w:hint="eastAsia" w:ascii="仿宋" w:hAnsi="仿宋" w:eastAsia="仿宋" w:cs="仿宋"/>
          <w:i w:val="0"/>
          <w:iCs/>
          <w:color w:val="auto"/>
          <w:sz w:val="32"/>
          <w:szCs w:val="32"/>
          <w:highlight w:val="none"/>
          <w:u w:val="none"/>
          <w:lang w:val="en-US" w:eastAsia="zh-CN"/>
        </w:rPr>
        <w:t>移交验收内容与标准</w:t>
      </w:r>
    </w:p>
    <w:p w14:paraId="219E15F4">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实物资产验收</w:t>
      </w:r>
      <w:r>
        <w:rPr>
          <w:rFonts w:hint="eastAsia" w:ascii="仿宋" w:hAnsi="仿宋" w:eastAsia="仿宋" w:cs="仿宋"/>
          <w:i w:val="0"/>
          <w:iCs/>
          <w:color w:val="auto"/>
          <w:sz w:val="32"/>
          <w:szCs w:val="32"/>
          <w:highlight w:val="none"/>
          <w:u w:val="none"/>
          <w:lang w:val="en-US" w:eastAsia="zh-CN"/>
        </w:rPr>
        <w:t>：</w:t>
      </w:r>
      <w:r>
        <w:rPr>
          <w:rFonts w:hint="eastAsia" w:ascii="仿宋" w:hAnsi="仿宋" w:eastAsia="仿宋" w:cs="仿宋"/>
          <w:i w:val="0"/>
          <w:iCs/>
          <w:color w:val="auto"/>
          <w:sz w:val="32"/>
          <w:szCs w:val="32"/>
          <w:highlight w:val="none"/>
          <w:u w:val="none"/>
          <w:lang w:val="en-US" w:eastAsia="zh-CN"/>
        </w:rPr>
        <w:t>乙方提交完整资产清单（设备名称、型号、序列号、安装位置、资产原值、维保记录）；现场逐项盘点，核对数量、在位情况。</w:t>
      </w:r>
    </w:p>
    <w:p w14:paraId="6BEEAFC1">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设备性能标准：冷热源、泵组、照明、充电桩、监测平台能够稳定正常投运；设备主要性能参数达到设计指标；不存在不可逆重大故障。</w:t>
      </w:r>
    </w:p>
    <w:p w14:paraId="18533CEC">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资产范围：本项目乙方投资建设的全部设备。</w:t>
      </w:r>
    </w:p>
    <w:p w14:paraId="7AB728E3">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资料移交（全套纸质+电子档案）</w:t>
      </w:r>
    </w:p>
    <w:p w14:paraId="4822B200">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全套竣工图纸、竣工资料；</w:t>
      </w:r>
    </w:p>
    <w:p w14:paraId="12EDE4DE">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设备说明书、维修手册、备件清单、质保资料、计量仪表检定证书；</w:t>
      </w:r>
    </w:p>
    <w:p w14:paraId="0C33A5C3">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合同期内历年运维记录、巡检、保养、故障记录；</w:t>
      </w:r>
    </w:p>
    <w:p w14:paraId="6E6300B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历年节能量验收报告、基准能耗报告、能耗历史数据库备份；软件授权、平台账号源代码/永久使用授权，平台部署文档。</w:t>
      </w:r>
    </w:p>
    <w:p w14:paraId="1A904CA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c.</w:t>
      </w:r>
      <w:r>
        <w:rPr>
          <w:rFonts w:hint="eastAsia" w:ascii="仿宋" w:hAnsi="仿宋" w:eastAsia="仿宋" w:cs="仿宋"/>
          <w:i w:val="0"/>
          <w:iCs/>
          <w:color w:val="auto"/>
          <w:sz w:val="32"/>
          <w:szCs w:val="32"/>
          <w:highlight w:val="none"/>
          <w:u w:val="none"/>
          <w:lang w:val="en-US" w:eastAsia="zh-CN"/>
        </w:rPr>
        <w:t>人员培训</w:t>
      </w:r>
    </w:p>
    <w:p w14:paraId="1B972A5F">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乙方须对甲方后勤管理、运维人员开展不少于2次专项操作培训：设备操作、日常巡检、简单故障排查、能耗平台操作。</w:t>
      </w:r>
    </w:p>
    <w:p w14:paraId="4D9106FD">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d.</w:t>
      </w:r>
      <w:r>
        <w:rPr>
          <w:rFonts w:hint="eastAsia" w:ascii="仿宋" w:hAnsi="仿宋" w:eastAsia="仿宋" w:cs="仿宋"/>
          <w:i w:val="0"/>
          <w:iCs/>
          <w:color w:val="auto"/>
          <w:sz w:val="32"/>
          <w:szCs w:val="32"/>
          <w:highlight w:val="none"/>
          <w:u w:val="none"/>
          <w:lang w:val="en-US" w:eastAsia="zh-CN"/>
        </w:rPr>
        <w:t>缺陷整改</w:t>
      </w:r>
    </w:p>
    <w:p w14:paraId="35BE0FC5">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移交验收发现设备缺陷、资料缺失，乙方须在约定期限内完成维修、补齐资料；逾期未完成整改，甲方可暂扣履约保证金直至整改完成。</w:t>
      </w:r>
    </w:p>
    <w:p w14:paraId="20BF68BE">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e.</w:t>
      </w:r>
      <w:r>
        <w:rPr>
          <w:rFonts w:hint="eastAsia" w:ascii="仿宋" w:hAnsi="仿宋" w:eastAsia="仿宋" w:cs="仿宋"/>
          <w:i w:val="0"/>
          <w:iCs/>
          <w:color w:val="auto"/>
          <w:sz w:val="32"/>
          <w:szCs w:val="32"/>
          <w:highlight w:val="none"/>
          <w:u w:val="none"/>
          <w:lang w:val="en-US" w:eastAsia="zh-CN"/>
        </w:rPr>
        <w:t>移交成果文件</w:t>
      </w:r>
    </w:p>
    <w:p w14:paraId="041C374C">
      <w:pPr>
        <w:spacing w:line="560" w:lineRule="exact"/>
        <w:ind w:firstLine="640" w:firstLineChars="200"/>
        <w:jc w:val="left"/>
        <w:rPr>
          <w:rFonts w:hint="eastAsia" w:ascii="仿宋" w:hAnsi="仿宋" w:eastAsia="仿宋" w:cs="仿宋"/>
          <w:i w:val="0"/>
          <w:iCs/>
          <w:color w:val="auto"/>
          <w:sz w:val="32"/>
          <w:szCs w:val="32"/>
          <w:highlight w:val="none"/>
          <w:u w:val="none"/>
          <w:lang w:val="en-US" w:eastAsia="zh-CN"/>
        </w:rPr>
      </w:pPr>
      <w:r>
        <w:rPr>
          <w:rFonts w:hint="eastAsia" w:ascii="仿宋" w:hAnsi="仿宋" w:eastAsia="仿宋" w:cs="仿宋"/>
          <w:i w:val="0"/>
          <w:iCs/>
          <w:color w:val="auto"/>
          <w:sz w:val="32"/>
          <w:szCs w:val="32"/>
          <w:highlight w:val="none"/>
          <w:u w:val="none"/>
          <w:lang w:val="en-US" w:eastAsia="zh-CN"/>
        </w:rPr>
        <w:t>签署《资产移交验收证书》，资产所有权正式转移至甲方；移交后设备日常运维责任由甲方承担。</w:t>
      </w:r>
    </w:p>
    <w:p w14:paraId="334F4D7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textAlignment w:val="auto"/>
        <w:rPr>
          <w:rFonts w:hint="eastAsia" w:ascii="仿宋" w:hAnsi="仿宋" w:eastAsia="仿宋" w:cs="仿宋"/>
          <w:sz w:val="32"/>
          <w:szCs w:val="32"/>
        </w:rPr>
      </w:pPr>
      <w:r>
        <w:rPr>
          <w:rFonts w:hint="eastAsia" w:ascii="仿宋" w:hAnsi="仿宋" w:eastAsia="仿宋" w:cs="仿宋"/>
          <w:i w:val="0"/>
          <w:iCs/>
          <w:color w:val="auto"/>
          <w:sz w:val="32"/>
          <w:szCs w:val="32"/>
          <w:u w:val="none"/>
          <w:lang w:val="en-US" w:eastAsia="zh-CN"/>
        </w:rPr>
        <w:t>9、付款方式：按月支付，</w:t>
      </w:r>
      <w:r>
        <w:rPr>
          <w:rFonts w:hint="eastAsia" w:ascii="仿宋" w:hAnsi="仿宋" w:eastAsia="仿宋" w:cs="仿宋"/>
          <w:sz w:val="32"/>
          <w:szCs w:val="32"/>
        </w:rPr>
        <w:t>支付方式采用银行转账支付。</w:t>
      </w:r>
    </w:p>
    <w:p w14:paraId="1CE6B35A">
      <w:pPr>
        <w:spacing w:line="56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10、本项目凡托管金额高于托管基准，投资金额小于1100万，投入设备能效等级低于2级，节能率小于17%的均视为无效投标。</w:t>
      </w:r>
    </w:p>
    <w:p w14:paraId="12B82AF2">
      <w:pPr>
        <w:spacing w:line="560" w:lineRule="exact"/>
        <w:ind w:firstLine="640" w:firstLineChars="200"/>
        <w:jc w:val="left"/>
        <w:rPr>
          <w:rFonts w:hint="eastAsia" w:ascii="仿宋" w:hAnsi="仿宋" w:eastAsia="仿宋" w:cs="仿宋"/>
          <w:color w:val="auto"/>
          <w:sz w:val="32"/>
          <w:szCs w:val="32"/>
          <w:lang w:val="en-US" w:eastAsia="zh-CN"/>
        </w:rPr>
      </w:pPr>
    </w:p>
    <w:p w14:paraId="1432D482">
      <w:pPr>
        <w:spacing w:line="560" w:lineRule="exact"/>
        <w:ind w:firstLine="640" w:firstLineChars="200"/>
        <w:jc w:val="left"/>
        <w:rPr>
          <w:rFonts w:hint="eastAsia" w:ascii="仿宋" w:hAnsi="仿宋" w:eastAsia="仿宋" w:cs="仿宋"/>
          <w:color w:val="auto"/>
          <w:sz w:val="32"/>
          <w:szCs w:val="32"/>
          <w:lang w:val="en-US" w:eastAsia="zh-CN"/>
        </w:rPr>
      </w:pPr>
    </w:p>
    <w:p w14:paraId="49211E64">
      <w:pPr>
        <w:spacing w:line="560" w:lineRule="exact"/>
        <w:ind w:firstLine="640" w:firstLineChars="200"/>
        <w:jc w:val="left"/>
        <w:rPr>
          <w:rFonts w:hint="eastAsia" w:ascii="仿宋" w:hAnsi="仿宋" w:eastAsia="仿宋" w:cs="仿宋"/>
          <w:color w:val="auto"/>
          <w:sz w:val="32"/>
          <w:szCs w:val="32"/>
          <w:lang w:val="en-US" w:eastAsia="zh-CN"/>
        </w:rPr>
      </w:pPr>
    </w:p>
    <w:p w14:paraId="46E7DF84">
      <w:pPr>
        <w:spacing w:line="560" w:lineRule="exact"/>
        <w:ind w:firstLine="640" w:firstLineChars="200"/>
        <w:jc w:val="left"/>
        <w:rPr>
          <w:rFonts w:hint="eastAsia" w:ascii="仿宋" w:hAnsi="仿宋" w:eastAsia="仿宋" w:cs="仿宋"/>
          <w:color w:val="auto"/>
          <w:sz w:val="32"/>
          <w:szCs w:val="32"/>
          <w:lang w:val="en-US" w:eastAsia="zh-CN"/>
        </w:rPr>
      </w:pPr>
    </w:p>
    <w:p w14:paraId="53033790">
      <w:pPr>
        <w:spacing w:line="560" w:lineRule="exact"/>
        <w:ind w:firstLine="640" w:firstLineChars="200"/>
        <w:jc w:val="left"/>
        <w:rPr>
          <w:rFonts w:hint="eastAsia" w:ascii="仿宋" w:hAnsi="仿宋" w:eastAsia="仿宋" w:cs="仿宋"/>
          <w:color w:val="auto"/>
          <w:sz w:val="32"/>
          <w:szCs w:val="32"/>
          <w:lang w:val="en-US" w:eastAsia="zh-CN"/>
        </w:rPr>
      </w:pPr>
    </w:p>
    <w:p w14:paraId="20216BFE">
      <w:pPr>
        <w:spacing w:line="560" w:lineRule="exact"/>
        <w:ind w:firstLine="640" w:firstLineChars="200"/>
        <w:jc w:val="left"/>
        <w:rPr>
          <w:rFonts w:hint="eastAsia" w:ascii="仿宋" w:hAnsi="仿宋" w:eastAsia="仿宋" w:cs="仿宋"/>
          <w:color w:val="auto"/>
          <w:sz w:val="32"/>
          <w:szCs w:val="32"/>
          <w:lang w:val="en-US" w:eastAsia="zh-CN"/>
        </w:rPr>
      </w:pPr>
    </w:p>
    <w:p w14:paraId="1079F618">
      <w:pPr>
        <w:spacing w:line="560" w:lineRule="exact"/>
        <w:ind w:firstLine="640" w:firstLineChars="200"/>
        <w:jc w:val="left"/>
        <w:rPr>
          <w:rFonts w:hint="eastAsia" w:ascii="仿宋" w:hAnsi="仿宋" w:eastAsia="仿宋" w:cs="仿宋"/>
          <w:color w:val="auto"/>
          <w:sz w:val="32"/>
          <w:szCs w:val="32"/>
          <w:lang w:val="en-US" w:eastAsia="zh-CN"/>
        </w:rPr>
      </w:pPr>
    </w:p>
    <w:p w14:paraId="406D8EAF">
      <w:pPr>
        <w:spacing w:line="560" w:lineRule="exact"/>
        <w:ind w:firstLine="640" w:firstLineChars="200"/>
        <w:jc w:val="left"/>
        <w:rPr>
          <w:rFonts w:hint="eastAsia" w:ascii="仿宋" w:hAnsi="仿宋" w:eastAsia="仿宋" w:cs="仿宋"/>
          <w:color w:val="auto"/>
          <w:sz w:val="32"/>
          <w:szCs w:val="32"/>
          <w:lang w:val="en-US" w:eastAsia="zh-CN"/>
        </w:rPr>
      </w:pPr>
    </w:p>
    <w:p w14:paraId="5EB516CC">
      <w:pPr>
        <w:spacing w:line="560" w:lineRule="exact"/>
        <w:ind w:firstLine="640" w:firstLineChars="200"/>
        <w:jc w:val="left"/>
        <w:rPr>
          <w:rFonts w:hint="eastAsia" w:ascii="仿宋" w:hAnsi="仿宋" w:eastAsia="仿宋" w:cs="仿宋"/>
          <w:color w:val="auto"/>
          <w:sz w:val="32"/>
          <w:szCs w:val="32"/>
          <w:lang w:val="en-US" w:eastAsia="zh-CN"/>
        </w:rPr>
      </w:pPr>
    </w:p>
    <w:p w14:paraId="622A3919">
      <w:pPr>
        <w:spacing w:line="560" w:lineRule="exact"/>
        <w:ind w:firstLine="640" w:firstLineChars="200"/>
        <w:jc w:val="left"/>
        <w:rPr>
          <w:rFonts w:hint="eastAsia" w:ascii="仿宋" w:hAnsi="仿宋" w:eastAsia="仿宋" w:cs="仿宋"/>
          <w:color w:val="auto"/>
          <w:sz w:val="32"/>
          <w:szCs w:val="32"/>
          <w:lang w:val="en-US" w:eastAsia="zh-CN"/>
        </w:rPr>
      </w:pPr>
    </w:p>
    <w:p w14:paraId="715914F3">
      <w:pPr>
        <w:spacing w:line="560" w:lineRule="exact"/>
        <w:ind w:firstLine="640" w:firstLineChars="200"/>
        <w:jc w:val="left"/>
        <w:rPr>
          <w:rFonts w:hint="eastAsia" w:ascii="仿宋" w:hAnsi="仿宋" w:eastAsia="仿宋" w:cs="仿宋"/>
          <w:color w:val="auto"/>
          <w:sz w:val="32"/>
          <w:szCs w:val="32"/>
          <w:lang w:val="en-US" w:eastAsia="zh-CN"/>
        </w:rPr>
      </w:pPr>
    </w:p>
    <w:p w14:paraId="07052FE4">
      <w:pPr>
        <w:spacing w:line="560" w:lineRule="exact"/>
        <w:ind w:firstLine="640" w:firstLineChars="200"/>
        <w:jc w:val="left"/>
        <w:rPr>
          <w:rFonts w:hint="eastAsia" w:ascii="仿宋" w:hAnsi="仿宋" w:eastAsia="仿宋" w:cs="仿宋"/>
          <w:color w:val="auto"/>
          <w:sz w:val="32"/>
          <w:szCs w:val="32"/>
          <w:lang w:val="en-US" w:eastAsia="zh-CN"/>
        </w:rPr>
      </w:pPr>
    </w:p>
    <w:p w14:paraId="25BB9501">
      <w:pPr>
        <w:spacing w:line="560" w:lineRule="exact"/>
        <w:ind w:firstLine="640" w:firstLineChars="200"/>
        <w:jc w:val="left"/>
        <w:rPr>
          <w:rFonts w:hint="eastAsia" w:ascii="仿宋" w:hAnsi="仿宋" w:eastAsia="仿宋" w:cs="仿宋"/>
          <w:color w:val="auto"/>
          <w:sz w:val="32"/>
          <w:szCs w:val="32"/>
          <w:lang w:val="en-US" w:eastAsia="zh-CN"/>
        </w:rPr>
      </w:pPr>
    </w:p>
    <w:p w14:paraId="0C068E99">
      <w:pPr>
        <w:spacing w:line="560" w:lineRule="exact"/>
        <w:ind w:firstLine="640" w:firstLineChars="200"/>
        <w:jc w:val="left"/>
        <w:rPr>
          <w:rFonts w:hint="eastAsia" w:ascii="仿宋" w:hAnsi="仿宋" w:eastAsia="仿宋" w:cs="仿宋"/>
          <w:color w:val="auto"/>
          <w:sz w:val="32"/>
          <w:szCs w:val="32"/>
          <w:lang w:val="en-US" w:eastAsia="zh-CN"/>
        </w:rPr>
      </w:pPr>
    </w:p>
    <w:p w14:paraId="2B75512A">
      <w:pPr>
        <w:spacing w:line="560" w:lineRule="exact"/>
        <w:ind w:firstLine="640" w:firstLineChars="200"/>
        <w:jc w:val="left"/>
        <w:rPr>
          <w:rFonts w:hint="eastAsia" w:ascii="仿宋" w:hAnsi="仿宋" w:eastAsia="仿宋" w:cs="仿宋"/>
          <w:color w:val="auto"/>
          <w:sz w:val="32"/>
          <w:szCs w:val="32"/>
          <w:lang w:val="en-US" w:eastAsia="zh-CN"/>
        </w:rPr>
      </w:pPr>
    </w:p>
    <w:p w14:paraId="06CEF000">
      <w:pPr>
        <w:spacing w:line="560" w:lineRule="exact"/>
        <w:ind w:firstLine="640" w:firstLineChars="200"/>
        <w:jc w:val="left"/>
        <w:rPr>
          <w:rFonts w:hint="eastAsia" w:ascii="仿宋" w:hAnsi="仿宋" w:eastAsia="仿宋" w:cs="仿宋"/>
          <w:color w:val="auto"/>
          <w:sz w:val="32"/>
          <w:szCs w:val="32"/>
          <w:lang w:val="en-US" w:eastAsia="zh-CN"/>
        </w:rPr>
      </w:pPr>
    </w:p>
    <w:p w14:paraId="52C49F72">
      <w:pPr>
        <w:spacing w:line="560" w:lineRule="exact"/>
        <w:ind w:firstLine="640" w:firstLineChars="200"/>
        <w:jc w:val="left"/>
        <w:rPr>
          <w:rFonts w:hint="eastAsia" w:ascii="仿宋" w:hAnsi="仿宋" w:eastAsia="仿宋" w:cs="仿宋"/>
          <w:color w:val="auto"/>
          <w:sz w:val="32"/>
          <w:szCs w:val="32"/>
          <w:lang w:val="en-US" w:eastAsia="zh-CN"/>
        </w:rPr>
      </w:pPr>
    </w:p>
    <w:p w14:paraId="2370C7C6">
      <w:pPr>
        <w:spacing w:line="560" w:lineRule="exact"/>
        <w:ind w:firstLine="640" w:firstLineChars="200"/>
        <w:jc w:val="left"/>
        <w:rPr>
          <w:rFonts w:hint="eastAsia" w:ascii="仿宋" w:hAnsi="仿宋" w:eastAsia="仿宋" w:cs="仿宋"/>
          <w:color w:val="auto"/>
          <w:sz w:val="32"/>
          <w:szCs w:val="32"/>
          <w:lang w:val="en-US" w:eastAsia="zh-CN"/>
        </w:rPr>
      </w:pPr>
    </w:p>
    <w:p w14:paraId="394421DE">
      <w:pPr>
        <w:spacing w:line="560" w:lineRule="exact"/>
        <w:ind w:firstLine="640" w:firstLineChars="200"/>
        <w:jc w:val="left"/>
        <w:rPr>
          <w:rFonts w:hint="eastAsia" w:ascii="仿宋" w:hAnsi="仿宋" w:eastAsia="仿宋" w:cs="仿宋"/>
          <w:color w:val="auto"/>
          <w:sz w:val="32"/>
          <w:szCs w:val="32"/>
          <w:lang w:val="en-US" w:eastAsia="zh-CN"/>
        </w:rPr>
      </w:pPr>
    </w:p>
    <w:p w14:paraId="0439578B">
      <w:pPr>
        <w:spacing w:line="560" w:lineRule="exact"/>
        <w:ind w:firstLine="640" w:firstLineChars="200"/>
        <w:jc w:val="left"/>
        <w:rPr>
          <w:rFonts w:hint="eastAsia" w:ascii="仿宋" w:hAnsi="仿宋" w:eastAsia="仿宋" w:cs="仿宋"/>
          <w:color w:val="auto"/>
          <w:sz w:val="32"/>
          <w:szCs w:val="32"/>
          <w:lang w:val="en-US" w:eastAsia="zh-CN"/>
        </w:rPr>
      </w:pPr>
    </w:p>
    <w:p w14:paraId="6C7E3D87">
      <w:pPr>
        <w:pStyle w:val="3"/>
        <w:bidi w:val="0"/>
        <w:rPr>
          <w:rFonts w:hint="eastAsia"/>
          <w:lang w:val="en-US" w:eastAsia="zh-CN"/>
        </w:rPr>
      </w:pPr>
      <w:r>
        <w:rPr>
          <w:rFonts w:hint="eastAsia"/>
          <w:lang w:val="en-US" w:eastAsia="zh-CN"/>
        </w:rPr>
        <w:fldChar w:fldCharType="begin"/>
      </w:r>
      <w:r>
        <w:rPr>
          <w:rFonts w:hint="eastAsia"/>
          <w:lang w:val="en-US" w:eastAsia="zh-CN"/>
        </w:rPr>
        <w:instrText xml:space="preserve"> HYPERLINK "https://xunbiaobao.baidu.com/bid_431016e71f5a957dbd3d8131bdecabc7ff2032a3?source=bd_bid-seo" </w:instrText>
      </w:r>
      <w:r>
        <w:rPr>
          <w:rFonts w:hint="eastAsia"/>
          <w:lang w:val="en-US" w:eastAsia="zh-CN"/>
        </w:rPr>
        <w:fldChar w:fldCharType="separate"/>
      </w:r>
      <w:r>
        <w:rPr>
          <w:rFonts w:hint="eastAsia"/>
          <w:lang w:val="en-US" w:eastAsia="zh-CN"/>
        </w:rPr>
        <w:t>附件一：医院能耗及设备清单</w:t>
      </w:r>
      <w:r>
        <w:rPr>
          <w:rFonts w:hint="eastAsia"/>
          <w:lang w:val="en-US" w:eastAsia="zh-CN"/>
        </w:rPr>
        <w:fldChar w:fldCharType="end"/>
      </w:r>
    </w:p>
    <w:p w14:paraId="6F871B1C">
      <w:pPr>
        <w:pStyle w:val="4"/>
        <w:numPr>
          <w:ilvl w:val="0"/>
          <w:numId w:val="7"/>
        </w:numPr>
        <w:spacing w:before="120" w:beforeLines="50" w:after="120" w:afterLines="50"/>
        <w:ind w:leftChars="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医院能耗情况</w:t>
      </w:r>
    </w:p>
    <w:p w14:paraId="2F83AFCC">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w:t>
      </w:r>
      <w:r>
        <w:rPr>
          <w:rFonts w:hint="eastAsia" w:ascii="仿宋" w:hAnsi="仿宋" w:eastAsia="仿宋" w:cs="仿宋"/>
          <w:b w:val="0"/>
          <w:bCs w:val="0"/>
          <w:color w:val="auto"/>
          <w:spacing w:val="-2"/>
          <w:kern w:val="0"/>
          <w:sz w:val="32"/>
          <w:szCs w:val="32"/>
          <w:lang w:val="en-US" w:eastAsia="zh-CN" w:bidi="ar"/>
        </w:rPr>
        <w:t>平顶山市第一人民医院（优越路院区）</w:t>
      </w:r>
      <w:r>
        <w:rPr>
          <w:rFonts w:hint="eastAsia" w:ascii="仿宋" w:hAnsi="仿宋" w:eastAsia="仿宋" w:cs="仿宋"/>
          <w:b w:val="0"/>
          <w:bCs w:val="0"/>
          <w:color w:val="auto"/>
          <w:sz w:val="32"/>
          <w:szCs w:val="32"/>
          <w:lang w:val="en-US" w:eastAsia="zh-CN"/>
        </w:rPr>
        <w:t>近5年耗电量数据表，如下：</w:t>
      </w:r>
    </w:p>
    <w:tbl>
      <w:tblPr>
        <w:tblStyle w:val="17"/>
        <w:tblW w:w="10020" w:type="dxa"/>
        <w:tblInd w:w="-44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3"/>
        <w:gridCol w:w="980"/>
        <w:gridCol w:w="950"/>
        <w:gridCol w:w="940"/>
        <w:gridCol w:w="862"/>
        <w:gridCol w:w="998"/>
        <w:gridCol w:w="912"/>
        <w:gridCol w:w="961"/>
        <w:gridCol w:w="972"/>
        <w:gridCol w:w="938"/>
        <w:gridCol w:w="894"/>
      </w:tblGrid>
      <w:tr w14:paraId="3F91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25C8">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电</w:t>
            </w:r>
          </w:p>
        </w:tc>
        <w:tc>
          <w:tcPr>
            <w:tcW w:w="19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F8BF">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★2021年</w:t>
            </w:r>
          </w:p>
        </w:tc>
        <w:tc>
          <w:tcPr>
            <w:tcW w:w="180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A88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★2022年</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43A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★2023年</w:t>
            </w:r>
          </w:p>
        </w:tc>
        <w:tc>
          <w:tcPr>
            <w:tcW w:w="19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1356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★2024年</w:t>
            </w:r>
          </w:p>
        </w:tc>
        <w:tc>
          <w:tcPr>
            <w:tcW w:w="18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E088">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★2025年</w:t>
            </w:r>
          </w:p>
        </w:tc>
      </w:tr>
      <w:tr w14:paraId="06794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28D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月份</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C4D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电量</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952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电费</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830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电量</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AB9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电费</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D592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电量</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718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电费</w:t>
            </w:r>
          </w:p>
        </w:tc>
        <w:tc>
          <w:tcPr>
            <w:tcW w:w="9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490A2C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电量</w:t>
            </w:r>
          </w:p>
        </w:tc>
        <w:tc>
          <w:tcPr>
            <w:tcW w:w="972" w:type="dxa"/>
            <w:tcBorders>
              <w:top w:val="single" w:color="auto" w:sz="4" w:space="0"/>
              <w:left w:val="single" w:color="auto" w:sz="4" w:space="0"/>
              <w:bottom w:val="single" w:color="000000" w:sz="4" w:space="0"/>
              <w:right w:val="single" w:color="auto" w:sz="4" w:space="0"/>
            </w:tcBorders>
            <w:shd w:val="clear" w:color="auto" w:fill="auto"/>
            <w:noWrap/>
            <w:vAlign w:val="center"/>
          </w:tcPr>
          <w:p w14:paraId="520C87E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电费</w:t>
            </w:r>
          </w:p>
        </w:tc>
        <w:tc>
          <w:tcPr>
            <w:tcW w:w="938" w:type="dxa"/>
            <w:tcBorders>
              <w:top w:val="single" w:color="auto" w:sz="4" w:space="0"/>
              <w:left w:val="single" w:color="auto" w:sz="4" w:space="0"/>
              <w:bottom w:val="single" w:color="000000" w:sz="4" w:space="0"/>
              <w:right w:val="single" w:color="auto" w:sz="4" w:space="0"/>
            </w:tcBorders>
            <w:shd w:val="clear" w:color="auto" w:fill="auto"/>
            <w:noWrap/>
            <w:vAlign w:val="center"/>
          </w:tcPr>
          <w:p w14:paraId="7B6327AF">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电量</w:t>
            </w:r>
          </w:p>
        </w:tc>
        <w:tc>
          <w:tcPr>
            <w:tcW w:w="894" w:type="dxa"/>
            <w:tcBorders>
              <w:top w:val="single" w:color="auto" w:sz="4" w:space="0"/>
              <w:left w:val="single" w:color="auto" w:sz="4" w:space="0"/>
              <w:bottom w:val="single" w:color="000000" w:sz="4" w:space="0"/>
              <w:right w:val="single" w:color="auto" w:sz="4" w:space="0"/>
            </w:tcBorders>
            <w:shd w:val="clear" w:color="auto" w:fill="auto"/>
            <w:noWrap/>
            <w:vAlign w:val="center"/>
          </w:tcPr>
          <w:p w14:paraId="125E9BCA">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电费</w:t>
            </w:r>
          </w:p>
        </w:tc>
      </w:tr>
      <w:tr w14:paraId="6A20D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C481">
            <w:pPr>
              <w:jc w:val="center"/>
              <w:rPr>
                <w:rFonts w:hint="eastAsia" w:ascii="仿宋" w:hAnsi="仿宋" w:eastAsia="仿宋" w:cs="仿宋"/>
                <w:i w:val="0"/>
                <w:iCs w:val="0"/>
                <w:color w:val="auto"/>
                <w:sz w:val="18"/>
                <w:szCs w:val="18"/>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637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kWh</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906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882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kWh</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3F3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40B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kWh</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220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9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5AD66C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kWh</w:t>
            </w:r>
          </w:p>
        </w:tc>
        <w:tc>
          <w:tcPr>
            <w:tcW w:w="972" w:type="dxa"/>
            <w:tcBorders>
              <w:top w:val="single" w:color="000000" w:sz="4" w:space="0"/>
              <w:left w:val="single" w:color="auto" w:sz="4" w:space="0"/>
              <w:bottom w:val="single" w:color="000000" w:sz="4" w:space="0"/>
              <w:right w:val="single" w:color="auto" w:sz="4" w:space="0"/>
            </w:tcBorders>
            <w:shd w:val="clear" w:color="auto" w:fill="auto"/>
            <w:noWrap/>
            <w:vAlign w:val="center"/>
          </w:tcPr>
          <w:p w14:paraId="08739BE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938" w:type="dxa"/>
            <w:tcBorders>
              <w:top w:val="single" w:color="000000" w:sz="4" w:space="0"/>
              <w:left w:val="single" w:color="auto" w:sz="4" w:space="0"/>
              <w:bottom w:val="single" w:color="000000" w:sz="4" w:space="0"/>
              <w:right w:val="single" w:color="auto" w:sz="4" w:space="0"/>
            </w:tcBorders>
            <w:shd w:val="clear" w:color="auto" w:fill="auto"/>
            <w:noWrap/>
            <w:vAlign w:val="center"/>
          </w:tcPr>
          <w:p w14:paraId="7802D536">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kWh</w:t>
            </w:r>
          </w:p>
        </w:tc>
        <w:tc>
          <w:tcPr>
            <w:tcW w:w="894" w:type="dxa"/>
            <w:tcBorders>
              <w:top w:val="single" w:color="000000" w:sz="4" w:space="0"/>
              <w:left w:val="single" w:color="auto" w:sz="4" w:space="0"/>
              <w:bottom w:val="single" w:color="000000" w:sz="4" w:space="0"/>
              <w:right w:val="single" w:color="auto" w:sz="4" w:space="0"/>
            </w:tcBorders>
            <w:shd w:val="clear" w:color="auto" w:fill="auto"/>
            <w:noWrap/>
            <w:vAlign w:val="center"/>
          </w:tcPr>
          <w:p w14:paraId="411F1CA1">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元</w:t>
            </w:r>
          </w:p>
        </w:tc>
      </w:tr>
      <w:tr w14:paraId="563A4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09D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1月</w:t>
            </w:r>
          </w:p>
        </w:tc>
        <w:tc>
          <w:tcPr>
            <w:tcW w:w="980" w:type="dxa"/>
            <w:tcBorders>
              <w:top w:val="single" w:color="000000" w:sz="4" w:space="0"/>
              <w:left w:val="single" w:color="000000" w:sz="4" w:space="0"/>
              <w:bottom w:val="nil"/>
              <w:right w:val="nil"/>
            </w:tcBorders>
            <w:shd w:val="clear" w:color="auto" w:fill="auto"/>
            <w:noWrap/>
            <w:vAlign w:val="center"/>
          </w:tcPr>
          <w:p w14:paraId="03DE77B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1063960</w:t>
            </w:r>
          </w:p>
        </w:tc>
        <w:tc>
          <w:tcPr>
            <w:tcW w:w="950" w:type="dxa"/>
            <w:tcBorders>
              <w:top w:val="single" w:color="000000" w:sz="4" w:space="0"/>
              <w:left w:val="single" w:color="000000" w:sz="4" w:space="0"/>
              <w:bottom w:val="nil"/>
              <w:right w:val="nil"/>
            </w:tcBorders>
            <w:shd w:val="clear" w:color="auto" w:fill="auto"/>
            <w:noWrap/>
            <w:vAlign w:val="center"/>
          </w:tcPr>
          <w:p w14:paraId="638BA0B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610481</w:t>
            </w:r>
          </w:p>
        </w:tc>
        <w:tc>
          <w:tcPr>
            <w:tcW w:w="940" w:type="dxa"/>
            <w:tcBorders>
              <w:top w:val="single" w:color="000000" w:sz="4" w:space="0"/>
              <w:left w:val="single" w:color="000000" w:sz="4" w:space="0"/>
              <w:bottom w:val="nil"/>
              <w:right w:val="nil"/>
            </w:tcBorders>
            <w:shd w:val="clear" w:color="auto" w:fill="auto"/>
            <w:noWrap/>
            <w:vAlign w:val="center"/>
          </w:tcPr>
          <w:p w14:paraId="5F82022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878787</w:t>
            </w:r>
          </w:p>
        </w:tc>
        <w:tc>
          <w:tcPr>
            <w:tcW w:w="862" w:type="dxa"/>
            <w:tcBorders>
              <w:top w:val="single" w:color="000000" w:sz="4" w:space="0"/>
              <w:left w:val="single" w:color="000000" w:sz="4" w:space="0"/>
              <w:bottom w:val="nil"/>
              <w:right w:val="nil"/>
            </w:tcBorders>
            <w:shd w:val="clear" w:color="auto" w:fill="auto"/>
            <w:noWrap/>
            <w:vAlign w:val="center"/>
          </w:tcPr>
          <w:p w14:paraId="7FF1F31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599003</w:t>
            </w:r>
          </w:p>
        </w:tc>
        <w:tc>
          <w:tcPr>
            <w:tcW w:w="998" w:type="dxa"/>
            <w:tcBorders>
              <w:top w:val="single" w:color="000000" w:sz="4" w:space="0"/>
              <w:left w:val="single" w:color="000000" w:sz="4" w:space="0"/>
              <w:bottom w:val="nil"/>
              <w:right w:val="nil"/>
            </w:tcBorders>
            <w:shd w:val="clear" w:color="auto" w:fill="auto"/>
            <w:noWrap/>
            <w:vAlign w:val="center"/>
          </w:tcPr>
          <w:p w14:paraId="6E0E75D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1242040</w:t>
            </w:r>
          </w:p>
        </w:tc>
        <w:tc>
          <w:tcPr>
            <w:tcW w:w="912" w:type="dxa"/>
            <w:tcBorders>
              <w:top w:val="single" w:color="000000" w:sz="4" w:space="0"/>
              <w:left w:val="single" w:color="000000" w:sz="4" w:space="0"/>
              <w:bottom w:val="nil"/>
              <w:right w:val="nil"/>
            </w:tcBorders>
            <w:shd w:val="clear" w:color="auto" w:fill="auto"/>
            <w:noWrap/>
            <w:vAlign w:val="center"/>
          </w:tcPr>
          <w:p w14:paraId="3411D7D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872885</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0F4CC03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1400360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5982E7D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922486</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7FB4AFB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1111000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759F224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751068</w:t>
            </w:r>
          </w:p>
        </w:tc>
      </w:tr>
      <w:tr w14:paraId="0C4BD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DCD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2月</w:t>
            </w:r>
          </w:p>
        </w:tc>
        <w:tc>
          <w:tcPr>
            <w:tcW w:w="980" w:type="dxa"/>
            <w:tcBorders>
              <w:top w:val="single" w:color="000000" w:sz="4" w:space="0"/>
              <w:left w:val="single" w:color="000000" w:sz="4" w:space="0"/>
              <w:bottom w:val="nil"/>
              <w:right w:val="nil"/>
            </w:tcBorders>
            <w:shd w:val="clear" w:color="auto" w:fill="auto"/>
            <w:noWrap/>
            <w:vAlign w:val="center"/>
          </w:tcPr>
          <w:p w14:paraId="74AFBE0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881560</w:t>
            </w:r>
          </w:p>
        </w:tc>
        <w:tc>
          <w:tcPr>
            <w:tcW w:w="950" w:type="dxa"/>
            <w:tcBorders>
              <w:top w:val="single" w:color="000000" w:sz="4" w:space="0"/>
              <w:left w:val="single" w:color="000000" w:sz="4" w:space="0"/>
              <w:bottom w:val="nil"/>
              <w:right w:val="nil"/>
            </w:tcBorders>
            <w:shd w:val="clear" w:color="auto" w:fill="auto"/>
            <w:noWrap/>
            <w:vAlign w:val="center"/>
          </w:tcPr>
          <w:p w14:paraId="0FE5236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508860</w:t>
            </w:r>
          </w:p>
        </w:tc>
        <w:tc>
          <w:tcPr>
            <w:tcW w:w="940" w:type="dxa"/>
            <w:tcBorders>
              <w:top w:val="single" w:color="000000" w:sz="4" w:space="0"/>
              <w:left w:val="single" w:color="000000" w:sz="4" w:space="0"/>
              <w:bottom w:val="nil"/>
              <w:right w:val="nil"/>
            </w:tcBorders>
            <w:shd w:val="clear" w:color="auto" w:fill="auto"/>
            <w:noWrap/>
            <w:vAlign w:val="center"/>
          </w:tcPr>
          <w:p w14:paraId="79ADA814">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1019320</w:t>
            </w:r>
          </w:p>
        </w:tc>
        <w:tc>
          <w:tcPr>
            <w:tcW w:w="862" w:type="dxa"/>
            <w:tcBorders>
              <w:top w:val="single" w:color="000000" w:sz="4" w:space="0"/>
              <w:left w:val="single" w:color="000000" w:sz="4" w:space="0"/>
              <w:bottom w:val="nil"/>
              <w:right w:val="nil"/>
            </w:tcBorders>
            <w:shd w:val="clear" w:color="auto" w:fill="auto"/>
            <w:noWrap/>
            <w:vAlign w:val="center"/>
          </w:tcPr>
          <w:p w14:paraId="7921224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687721</w:t>
            </w:r>
          </w:p>
        </w:tc>
        <w:tc>
          <w:tcPr>
            <w:tcW w:w="998" w:type="dxa"/>
            <w:tcBorders>
              <w:top w:val="single" w:color="000000" w:sz="4" w:space="0"/>
              <w:left w:val="single" w:color="000000" w:sz="4" w:space="0"/>
              <w:bottom w:val="nil"/>
              <w:right w:val="nil"/>
            </w:tcBorders>
            <w:shd w:val="clear" w:color="auto" w:fill="auto"/>
            <w:noWrap/>
            <w:vAlign w:val="center"/>
          </w:tcPr>
          <w:p w14:paraId="1A03E056">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1056400</w:t>
            </w:r>
          </w:p>
        </w:tc>
        <w:tc>
          <w:tcPr>
            <w:tcW w:w="912" w:type="dxa"/>
            <w:tcBorders>
              <w:top w:val="single" w:color="000000" w:sz="4" w:space="0"/>
              <w:left w:val="single" w:color="000000" w:sz="4" w:space="0"/>
              <w:bottom w:val="nil"/>
              <w:right w:val="nil"/>
            </w:tcBorders>
            <w:shd w:val="clear" w:color="auto" w:fill="auto"/>
            <w:noWrap/>
            <w:vAlign w:val="center"/>
          </w:tcPr>
          <w:p w14:paraId="7C4F69C4">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748804</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6D674FD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1273800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4EE920C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865705</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29A80D6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1004800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1E71AC6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687117</w:t>
            </w:r>
          </w:p>
        </w:tc>
      </w:tr>
      <w:tr w14:paraId="487E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918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3月</w:t>
            </w:r>
          </w:p>
        </w:tc>
        <w:tc>
          <w:tcPr>
            <w:tcW w:w="980" w:type="dxa"/>
            <w:tcBorders>
              <w:top w:val="single" w:color="000000" w:sz="4" w:space="0"/>
              <w:left w:val="single" w:color="000000" w:sz="4" w:space="0"/>
              <w:bottom w:val="nil"/>
              <w:right w:val="nil"/>
            </w:tcBorders>
            <w:shd w:val="clear" w:color="auto" w:fill="auto"/>
            <w:noWrap/>
            <w:vAlign w:val="center"/>
          </w:tcPr>
          <w:p w14:paraId="1D2D4795">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788920</w:t>
            </w:r>
          </w:p>
        </w:tc>
        <w:tc>
          <w:tcPr>
            <w:tcW w:w="950" w:type="dxa"/>
            <w:tcBorders>
              <w:top w:val="single" w:color="000000" w:sz="4" w:space="0"/>
              <w:left w:val="single" w:color="000000" w:sz="4" w:space="0"/>
              <w:bottom w:val="nil"/>
              <w:right w:val="nil"/>
            </w:tcBorders>
            <w:shd w:val="clear" w:color="auto" w:fill="auto"/>
            <w:noWrap/>
            <w:vAlign w:val="center"/>
          </w:tcPr>
          <w:p w14:paraId="474578E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454186</w:t>
            </w:r>
          </w:p>
        </w:tc>
        <w:tc>
          <w:tcPr>
            <w:tcW w:w="940" w:type="dxa"/>
            <w:tcBorders>
              <w:top w:val="single" w:color="000000" w:sz="4" w:space="0"/>
              <w:left w:val="single" w:color="000000" w:sz="4" w:space="0"/>
              <w:bottom w:val="nil"/>
              <w:right w:val="nil"/>
            </w:tcBorders>
            <w:shd w:val="clear" w:color="auto" w:fill="auto"/>
            <w:noWrap/>
            <w:vAlign w:val="center"/>
          </w:tcPr>
          <w:p w14:paraId="2B127CB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862120</w:t>
            </w:r>
          </w:p>
        </w:tc>
        <w:tc>
          <w:tcPr>
            <w:tcW w:w="862" w:type="dxa"/>
            <w:tcBorders>
              <w:top w:val="single" w:color="000000" w:sz="4" w:space="0"/>
              <w:left w:val="single" w:color="000000" w:sz="4" w:space="0"/>
              <w:bottom w:val="nil"/>
              <w:right w:val="nil"/>
            </w:tcBorders>
            <w:shd w:val="clear" w:color="auto" w:fill="auto"/>
            <w:noWrap/>
            <w:vAlign w:val="center"/>
          </w:tcPr>
          <w:p w14:paraId="1B9CD6F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575752</w:t>
            </w:r>
          </w:p>
        </w:tc>
        <w:tc>
          <w:tcPr>
            <w:tcW w:w="998" w:type="dxa"/>
            <w:tcBorders>
              <w:top w:val="single" w:color="000000" w:sz="4" w:space="0"/>
              <w:left w:val="single" w:color="000000" w:sz="4" w:space="0"/>
              <w:bottom w:val="nil"/>
              <w:right w:val="nil"/>
            </w:tcBorders>
            <w:shd w:val="clear" w:color="auto" w:fill="auto"/>
            <w:noWrap/>
            <w:vAlign w:val="center"/>
          </w:tcPr>
          <w:p w14:paraId="5117C5D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805720</w:t>
            </w:r>
          </w:p>
        </w:tc>
        <w:tc>
          <w:tcPr>
            <w:tcW w:w="912" w:type="dxa"/>
            <w:tcBorders>
              <w:top w:val="single" w:color="000000" w:sz="4" w:space="0"/>
              <w:left w:val="single" w:color="000000" w:sz="4" w:space="0"/>
              <w:bottom w:val="nil"/>
              <w:right w:val="nil"/>
            </w:tcBorders>
            <w:shd w:val="clear" w:color="auto" w:fill="auto"/>
            <w:noWrap/>
            <w:vAlign w:val="center"/>
          </w:tcPr>
          <w:p w14:paraId="035028E4">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574399</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025E9D2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858400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6FB77396">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564302</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0396E38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846600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389D783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583184</w:t>
            </w:r>
          </w:p>
        </w:tc>
      </w:tr>
      <w:tr w14:paraId="15CDE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B64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4月</w:t>
            </w:r>
          </w:p>
        </w:tc>
        <w:tc>
          <w:tcPr>
            <w:tcW w:w="980" w:type="dxa"/>
            <w:tcBorders>
              <w:top w:val="single" w:color="000000" w:sz="4" w:space="0"/>
              <w:left w:val="single" w:color="000000" w:sz="4" w:space="0"/>
              <w:bottom w:val="nil"/>
              <w:right w:val="nil"/>
            </w:tcBorders>
            <w:shd w:val="clear" w:color="auto" w:fill="auto"/>
            <w:noWrap/>
            <w:vAlign w:val="center"/>
          </w:tcPr>
          <w:p w14:paraId="3FA8CF5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692200</w:t>
            </w:r>
          </w:p>
        </w:tc>
        <w:tc>
          <w:tcPr>
            <w:tcW w:w="950" w:type="dxa"/>
            <w:tcBorders>
              <w:top w:val="single" w:color="000000" w:sz="4" w:space="0"/>
              <w:left w:val="single" w:color="000000" w:sz="4" w:space="0"/>
              <w:bottom w:val="nil"/>
              <w:right w:val="nil"/>
            </w:tcBorders>
            <w:shd w:val="clear" w:color="auto" w:fill="auto"/>
            <w:noWrap/>
            <w:vAlign w:val="center"/>
          </w:tcPr>
          <w:p w14:paraId="52D53A4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399278</w:t>
            </w:r>
          </w:p>
        </w:tc>
        <w:tc>
          <w:tcPr>
            <w:tcW w:w="940" w:type="dxa"/>
            <w:tcBorders>
              <w:top w:val="single" w:color="000000" w:sz="4" w:space="0"/>
              <w:left w:val="single" w:color="000000" w:sz="4" w:space="0"/>
              <w:bottom w:val="nil"/>
              <w:right w:val="nil"/>
            </w:tcBorders>
            <w:shd w:val="clear" w:color="auto" w:fill="auto"/>
            <w:noWrap/>
            <w:vAlign w:val="center"/>
          </w:tcPr>
          <w:p w14:paraId="7F12C08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634600</w:t>
            </w:r>
          </w:p>
        </w:tc>
        <w:tc>
          <w:tcPr>
            <w:tcW w:w="862" w:type="dxa"/>
            <w:tcBorders>
              <w:top w:val="single" w:color="000000" w:sz="4" w:space="0"/>
              <w:left w:val="single" w:color="000000" w:sz="4" w:space="0"/>
              <w:bottom w:val="nil"/>
              <w:right w:val="nil"/>
            </w:tcBorders>
            <w:shd w:val="clear" w:color="auto" w:fill="auto"/>
            <w:noWrap/>
            <w:vAlign w:val="center"/>
          </w:tcPr>
          <w:p w14:paraId="62CB881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425639</w:t>
            </w:r>
          </w:p>
        </w:tc>
        <w:tc>
          <w:tcPr>
            <w:tcW w:w="998" w:type="dxa"/>
            <w:tcBorders>
              <w:top w:val="single" w:color="000000" w:sz="4" w:space="0"/>
              <w:left w:val="single" w:color="000000" w:sz="4" w:space="0"/>
              <w:bottom w:val="nil"/>
              <w:right w:val="nil"/>
            </w:tcBorders>
            <w:shd w:val="clear" w:color="auto" w:fill="auto"/>
            <w:noWrap/>
            <w:vAlign w:val="center"/>
          </w:tcPr>
          <w:p w14:paraId="21E21C9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638680</w:t>
            </w:r>
          </w:p>
        </w:tc>
        <w:tc>
          <w:tcPr>
            <w:tcW w:w="912" w:type="dxa"/>
            <w:tcBorders>
              <w:top w:val="single" w:color="000000" w:sz="4" w:space="0"/>
              <w:left w:val="single" w:color="000000" w:sz="4" w:space="0"/>
              <w:bottom w:val="nil"/>
              <w:right w:val="nil"/>
            </w:tcBorders>
            <w:shd w:val="clear" w:color="auto" w:fill="auto"/>
            <w:noWrap/>
            <w:vAlign w:val="center"/>
          </w:tcPr>
          <w:p w14:paraId="4049591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454419</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2AD1505F">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673400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22AF888F">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430633</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0A0D246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725200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1C65413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478602</w:t>
            </w:r>
          </w:p>
        </w:tc>
      </w:tr>
      <w:tr w14:paraId="4155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CA4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5月</w:t>
            </w:r>
          </w:p>
        </w:tc>
        <w:tc>
          <w:tcPr>
            <w:tcW w:w="980" w:type="dxa"/>
            <w:tcBorders>
              <w:top w:val="single" w:color="000000" w:sz="4" w:space="0"/>
              <w:left w:val="single" w:color="000000" w:sz="4" w:space="0"/>
              <w:bottom w:val="nil"/>
              <w:right w:val="nil"/>
            </w:tcBorders>
            <w:shd w:val="clear" w:color="auto" w:fill="auto"/>
            <w:noWrap/>
            <w:vAlign w:val="center"/>
          </w:tcPr>
          <w:p w14:paraId="08B3C4C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1187080</w:t>
            </w:r>
          </w:p>
        </w:tc>
        <w:tc>
          <w:tcPr>
            <w:tcW w:w="950" w:type="dxa"/>
            <w:tcBorders>
              <w:top w:val="single" w:color="000000" w:sz="4" w:space="0"/>
              <w:left w:val="single" w:color="000000" w:sz="4" w:space="0"/>
              <w:bottom w:val="nil"/>
              <w:right w:val="nil"/>
            </w:tcBorders>
            <w:shd w:val="clear" w:color="auto" w:fill="auto"/>
            <w:noWrap/>
            <w:vAlign w:val="center"/>
          </w:tcPr>
          <w:p w14:paraId="6D8E646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686385</w:t>
            </w:r>
          </w:p>
        </w:tc>
        <w:tc>
          <w:tcPr>
            <w:tcW w:w="940" w:type="dxa"/>
            <w:tcBorders>
              <w:top w:val="single" w:color="000000" w:sz="4" w:space="0"/>
              <w:left w:val="single" w:color="000000" w:sz="4" w:space="0"/>
              <w:bottom w:val="nil"/>
              <w:right w:val="nil"/>
            </w:tcBorders>
            <w:shd w:val="clear" w:color="auto" w:fill="auto"/>
            <w:noWrap/>
            <w:vAlign w:val="center"/>
          </w:tcPr>
          <w:p w14:paraId="0516DC7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804160</w:t>
            </w:r>
          </w:p>
        </w:tc>
        <w:tc>
          <w:tcPr>
            <w:tcW w:w="862" w:type="dxa"/>
            <w:tcBorders>
              <w:top w:val="single" w:color="000000" w:sz="4" w:space="0"/>
              <w:left w:val="single" w:color="000000" w:sz="4" w:space="0"/>
              <w:bottom w:val="nil"/>
              <w:right w:val="nil"/>
            </w:tcBorders>
            <w:shd w:val="clear" w:color="auto" w:fill="auto"/>
            <w:noWrap/>
            <w:vAlign w:val="center"/>
          </w:tcPr>
          <w:p w14:paraId="1EFAB65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531580</w:t>
            </w:r>
          </w:p>
        </w:tc>
        <w:tc>
          <w:tcPr>
            <w:tcW w:w="998" w:type="dxa"/>
            <w:tcBorders>
              <w:top w:val="single" w:color="000000" w:sz="4" w:space="0"/>
              <w:left w:val="single" w:color="000000" w:sz="4" w:space="0"/>
              <w:bottom w:val="nil"/>
              <w:right w:val="nil"/>
            </w:tcBorders>
            <w:shd w:val="clear" w:color="auto" w:fill="auto"/>
            <w:noWrap/>
            <w:vAlign w:val="center"/>
          </w:tcPr>
          <w:p w14:paraId="2C39778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648880</w:t>
            </w:r>
          </w:p>
        </w:tc>
        <w:tc>
          <w:tcPr>
            <w:tcW w:w="912" w:type="dxa"/>
            <w:tcBorders>
              <w:top w:val="single" w:color="000000" w:sz="4" w:space="0"/>
              <w:left w:val="single" w:color="000000" w:sz="4" w:space="0"/>
              <w:bottom w:val="nil"/>
              <w:right w:val="nil"/>
            </w:tcBorders>
            <w:shd w:val="clear" w:color="auto" w:fill="auto"/>
            <w:noWrap/>
            <w:vAlign w:val="center"/>
          </w:tcPr>
          <w:p w14:paraId="4B9D0A3D">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442841</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0BDACD2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1054600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5CB4463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688295</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5C13CA4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1091000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14310A9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733338</w:t>
            </w:r>
          </w:p>
        </w:tc>
      </w:tr>
      <w:tr w14:paraId="32D9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181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6月</w:t>
            </w:r>
          </w:p>
        </w:tc>
        <w:tc>
          <w:tcPr>
            <w:tcW w:w="980" w:type="dxa"/>
            <w:tcBorders>
              <w:top w:val="single" w:color="000000" w:sz="4" w:space="0"/>
              <w:left w:val="single" w:color="000000" w:sz="4" w:space="0"/>
              <w:bottom w:val="nil"/>
              <w:right w:val="nil"/>
            </w:tcBorders>
            <w:shd w:val="clear" w:color="auto" w:fill="auto"/>
            <w:noWrap/>
            <w:vAlign w:val="center"/>
          </w:tcPr>
          <w:p w14:paraId="1345A9E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1483240</w:t>
            </w:r>
          </w:p>
        </w:tc>
        <w:tc>
          <w:tcPr>
            <w:tcW w:w="950" w:type="dxa"/>
            <w:tcBorders>
              <w:top w:val="single" w:color="000000" w:sz="4" w:space="0"/>
              <w:left w:val="single" w:color="000000" w:sz="4" w:space="0"/>
              <w:bottom w:val="nil"/>
              <w:right w:val="nil"/>
            </w:tcBorders>
            <w:shd w:val="clear" w:color="auto" w:fill="auto"/>
            <w:noWrap/>
            <w:vAlign w:val="center"/>
          </w:tcPr>
          <w:p w14:paraId="0FC11A76">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856047</w:t>
            </w:r>
          </w:p>
        </w:tc>
        <w:tc>
          <w:tcPr>
            <w:tcW w:w="940" w:type="dxa"/>
            <w:tcBorders>
              <w:top w:val="single" w:color="000000" w:sz="4" w:space="0"/>
              <w:left w:val="single" w:color="000000" w:sz="4" w:space="0"/>
              <w:bottom w:val="nil"/>
              <w:right w:val="nil"/>
            </w:tcBorders>
            <w:shd w:val="clear" w:color="auto" w:fill="auto"/>
            <w:noWrap/>
            <w:vAlign w:val="center"/>
          </w:tcPr>
          <w:p w14:paraId="26109DF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1445680</w:t>
            </w:r>
          </w:p>
        </w:tc>
        <w:tc>
          <w:tcPr>
            <w:tcW w:w="862" w:type="dxa"/>
            <w:tcBorders>
              <w:top w:val="single" w:color="000000" w:sz="4" w:space="0"/>
              <w:left w:val="single" w:color="000000" w:sz="4" w:space="0"/>
              <w:bottom w:val="nil"/>
              <w:right w:val="nil"/>
            </w:tcBorders>
            <w:shd w:val="clear" w:color="auto" w:fill="auto"/>
            <w:noWrap/>
            <w:vAlign w:val="center"/>
          </w:tcPr>
          <w:p w14:paraId="5227DE1D">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965455</w:t>
            </w:r>
          </w:p>
        </w:tc>
        <w:tc>
          <w:tcPr>
            <w:tcW w:w="998" w:type="dxa"/>
            <w:tcBorders>
              <w:top w:val="single" w:color="000000" w:sz="4" w:space="0"/>
              <w:left w:val="single" w:color="000000" w:sz="4" w:space="0"/>
              <w:bottom w:val="nil"/>
              <w:right w:val="nil"/>
            </w:tcBorders>
            <w:shd w:val="clear" w:color="auto" w:fill="auto"/>
            <w:noWrap/>
            <w:vAlign w:val="center"/>
          </w:tcPr>
          <w:p w14:paraId="68CFE06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938800</w:t>
            </w:r>
          </w:p>
        </w:tc>
        <w:tc>
          <w:tcPr>
            <w:tcW w:w="912" w:type="dxa"/>
            <w:tcBorders>
              <w:top w:val="single" w:color="000000" w:sz="4" w:space="0"/>
              <w:left w:val="single" w:color="000000" w:sz="4" w:space="0"/>
              <w:bottom w:val="nil"/>
              <w:right w:val="nil"/>
            </w:tcBorders>
            <w:shd w:val="clear" w:color="auto" w:fill="auto"/>
            <w:noWrap/>
            <w:vAlign w:val="center"/>
          </w:tcPr>
          <w:p w14:paraId="6C932D5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637924</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730D1DD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1364467</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7E527E2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926366</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5D6772A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1383200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11A8FE5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934912</w:t>
            </w:r>
          </w:p>
        </w:tc>
      </w:tr>
      <w:tr w14:paraId="7FF3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43C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7月</w:t>
            </w:r>
          </w:p>
        </w:tc>
        <w:tc>
          <w:tcPr>
            <w:tcW w:w="980" w:type="dxa"/>
            <w:tcBorders>
              <w:top w:val="single" w:color="000000" w:sz="4" w:space="0"/>
              <w:left w:val="single" w:color="000000" w:sz="4" w:space="0"/>
              <w:bottom w:val="nil"/>
              <w:right w:val="nil"/>
            </w:tcBorders>
            <w:shd w:val="clear" w:color="auto" w:fill="auto"/>
            <w:noWrap/>
            <w:vAlign w:val="center"/>
          </w:tcPr>
          <w:p w14:paraId="538232C8">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1579240</w:t>
            </w:r>
          </w:p>
        </w:tc>
        <w:tc>
          <w:tcPr>
            <w:tcW w:w="950" w:type="dxa"/>
            <w:tcBorders>
              <w:top w:val="single" w:color="000000" w:sz="4" w:space="0"/>
              <w:left w:val="single" w:color="000000" w:sz="4" w:space="0"/>
              <w:bottom w:val="nil"/>
              <w:right w:val="nil"/>
            </w:tcBorders>
            <w:shd w:val="clear" w:color="auto" w:fill="auto"/>
            <w:noWrap/>
            <w:vAlign w:val="center"/>
          </w:tcPr>
          <w:p w14:paraId="1AA7BF0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910383</w:t>
            </w:r>
          </w:p>
        </w:tc>
        <w:tc>
          <w:tcPr>
            <w:tcW w:w="940" w:type="dxa"/>
            <w:tcBorders>
              <w:top w:val="single" w:color="000000" w:sz="4" w:space="0"/>
              <w:left w:val="single" w:color="000000" w:sz="4" w:space="0"/>
              <w:bottom w:val="nil"/>
              <w:right w:val="nil"/>
            </w:tcBorders>
            <w:shd w:val="clear" w:color="auto" w:fill="auto"/>
            <w:noWrap/>
            <w:vAlign w:val="center"/>
          </w:tcPr>
          <w:p w14:paraId="1576204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1567120</w:t>
            </w:r>
          </w:p>
        </w:tc>
        <w:tc>
          <w:tcPr>
            <w:tcW w:w="862" w:type="dxa"/>
            <w:tcBorders>
              <w:top w:val="single" w:color="000000" w:sz="4" w:space="0"/>
              <w:left w:val="single" w:color="000000" w:sz="4" w:space="0"/>
              <w:bottom w:val="nil"/>
              <w:right w:val="nil"/>
            </w:tcBorders>
            <w:shd w:val="clear" w:color="auto" w:fill="auto"/>
            <w:noWrap/>
            <w:vAlign w:val="center"/>
          </w:tcPr>
          <w:p w14:paraId="623031B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1070848</w:t>
            </w:r>
          </w:p>
        </w:tc>
        <w:tc>
          <w:tcPr>
            <w:tcW w:w="998" w:type="dxa"/>
            <w:tcBorders>
              <w:top w:val="single" w:color="000000" w:sz="4" w:space="0"/>
              <w:left w:val="single" w:color="000000" w:sz="4" w:space="0"/>
              <w:bottom w:val="nil"/>
              <w:right w:val="nil"/>
            </w:tcBorders>
            <w:shd w:val="clear" w:color="auto" w:fill="auto"/>
            <w:noWrap/>
            <w:vAlign w:val="center"/>
          </w:tcPr>
          <w:p w14:paraId="408BBF9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1499320</w:t>
            </w:r>
          </w:p>
        </w:tc>
        <w:tc>
          <w:tcPr>
            <w:tcW w:w="912" w:type="dxa"/>
            <w:tcBorders>
              <w:top w:val="single" w:color="000000" w:sz="4" w:space="0"/>
              <w:left w:val="single" w:color="000000" w:sz="4" w:space="0"/>
              <w:bottom w:val="nil"/>
              <w:right w:val="nil"/>
            </w:tcBorders>
            <w:shd w:val="clear" w:color="auto" w:fill="auto"/>
            <w:noWrap/>
            <w:vAlign w:val="center"/>
          </w:tcPr>
          <w:p w14:paraId="5F68FA8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1021239</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05255A4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1643800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1FEAFEF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1157000</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168A69C4">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1853600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684BD06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1251684</w:t>
            </w:r>
          </w:p>
        </w:tc>
      </w:tr>
      <w:tr w14:paraId="416E0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65C2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8月</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7DE8">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1181920</w:t>
            </w:r>
          </w:p>
        </w:tc>
        <w:tc>
          <w:tcPr>
            <w:tcW w:w="950" w:type="dxa"/>
            <w:tcBorders>
              <w:top w:val="single" w:color="000000" w:sz="4" w:space="0"/>
              <w:left w:val="single" w:color="000000" w:sz="4" w:space="0"/>
              <w:bottom w:val="nil"/>
              <w:right w:val="nil"/>
            </w:tcBorders>
            <w:shd w:val="clear" w:color="auto" w:fill="auto"/>
            <w:noWrap/>
            <w:vAlign w:val="center"/>
          </w:tcPr>
          <w:p w14:paraId="7B18FFA6">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680235</w:t>
            </w:r>
          </w:p>
        </w:tc>
        <w:tc>
          <w:tcPr>
            <w:tcW w:w="940" w:type="dxa"/>
            <w:tcBorders>
              <w:top w:val="single" w:color="000000" w:sz="4" w:space="0"/>
              <w:left w:val="single" w:color="000000" w:sz="4" w:space="0"/>
              <w:bottom w:val="nil"/>
              <w:right w:val="nil"/>
            </w:tcBorders>
            <w:shd w:val="clear" w:color="auto" w:fill="auto"/>
            <w:noWrap/>
            <w:vAlign w:val="center"/>
          </w:tcPr>
          <w:p w14:paraId="0127B9B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1592680</w:t>
            </w:r>
          </w:p>
        </w:tc>
        <w:tc>
          <w:tcPr>
            <w:tcW w:w="862" w:type="dxa"/>
            <w:tcBorders>
              <w:top w:val="single" w:color="000000" w:sz="4" w:space="0"/>
              <w:left w:val="single" w:color="000000" w:sz="4" w:space="0"/>
              <w:bottom w:val="nil"/>
              <w:right w:val="nil"/>
            </w:tcBorders>
            <w:shd w:val="clear" w:color="auto" w:fill="auto"/>
            <w:noWrap/>
            <w:vAlign w:val="center"/>
          </w:tcPr>
          <w:p w14:paraId="58EC4EF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1090279</w:t>
            </w:r>
          </w:p>
        </w:tc>
        <w:tc>
          <w:tcPr>
            <w:tcW w:w="998" w:type="dxa"/>
            <w:tcBorders>
              <w:top w:val="single" w:color="000000" w:sz="4" w:space="0"/>
              <w:left w:val="single" w:color="000000" w:sz="4" w:space="0"/>
              <w:bottom w:val="nil"/>
              <w:right w:val="nil"/>
            </w:tcBorders>
            <w:shd w:val="clear" w:color="auto" w:fill="auto"/>
            <w:noWrap/>
            <w:vAlign w:val="center"/>
          </w:tcPr>
          <w:p w14:paraId="7C2A82F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1541800</w:t>
            </w:r>
          </w:p>
        </w:tc>
        <w:tc>
          <w:tcPr>
            <w:tcW w:w="912" w:type="dxa"/>
            <w:tcBorders>
              <w:top w:val="single" w:color="000000" w:sz="4" w:space="0"/>
              <w:left w:val="single" w:color="000000" w:sz="4" w:space="0"/>
              <w:bottom w:val="nil"/>
              <w:right w:val="nil"/>
            </w:tcBorders>
            <w:shd w:val="clear" w:color="auto" w:fill="auto"/>
            <w:noWrap/>
            <w:vAlign w:val="center"/>
          </w:tcPr>
          <w:p w14:paraId="016AD99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1061451</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166799A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1718800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67B22EE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1202388</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350DB2F6">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1724200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76C64C4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1169431</w:t>
            </w:r>
          </w:p>
        </w:tc>
      </w:tr>
      <w:tr w14:paraId="085CC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D49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9月</w:t>
            </w:r>
          </w:p>
        </w:tc>
        <w:tc>
          <w:tcPr>
            <w:tcW w:w="980" w:type="dxa"/>
            <w:tcBorders>
              <w:top w:val="single" w:color="000000" w:sz="4" w:space="0"/>
              <w:left w:val="single" w:color="000000" w:sz="4" w:space="0"/>
              <w:bottom w:val="nil"/>
              <w:right w:val="nil"/>
            </w:tcBorders>
            <w:shd w:val="clear" w:color="auto" w:fill="auto"/>
            <w:noWrap/>
            <w:vAlign w:val="center"/>
          </w:tcPr>
          <w:p w14:paraId="6AF74D3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905787</w:t>
            </w:r>
          </w:p>
        </w:tc>
        <w:tc>
          <w:tcPr>
            <w:tcW w:w="950" w:type="dxa"/>
            <w:tcBorders>
              <w:top w:val="single" w:color="000000" w:sz="4" w:space="0"/>
              <w:left w:val="single" w:color="000000" w:sz="4" w:space="0"/>
              <w:bottom w:val="nil"/>
              <w:right w:val="nil"/>
            </w:tcBorders>
            <w:shd w:val="clear" w:color="auto" w:fill="auto"/>
            <w:noWrap/>
            <w:vAlign w:val="center"/>
          </w:tcPr>
          <w:p w14:paraId="72201DC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521222</w:t>
            </w:r>
          </w:p>
        </w:tc>
        <w:tc>
          <w:tcPr>
            <w:tcW w:w="940" w:type="dxa"/>
            <w:tcBorders>
              <w:top w:val="single" w:color="000000" w:sz="4" w:space="0"/>
              <w:left w:val="single" w:color="000000" w:sz="4" w:space="0"/>
              <w:bottom w:val="nil"/>
              <w:right w:val="nil"/>
            </w:tcBorders>
            <w:shd w:val="clear" w:color="auto" w:fill="auto"/>
            <w:noWrap/>
            <w:vAlign w:val="center"/>
          </w:tcPr>
          <w:p w14:paraId="44899D2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1031200</w:t>
            </w:r>
          </w:p>
        </w:tc>
        <w:tc>
          <w:tcPr>
            <w:tcW w:w="862" w:type="dxa"/>
            <w:tcBorders>
              <w:top w:val="single" w:color="000000" w:sz="4" w:space="0"/>
              <w:left w:val="single" w:color="000000" w:sz="4" w:space="0"/>
              <w:bottom w:val="nil"/>
              <w:right w:val="nil"/>
            </w:tcBorders>
            <w:shd w:val="clear" w:color="auto" w:fill="auto"/>
            <w:noWrap/>
            <w:vAlign w:val="center"/>
          </w:tcPr>
          <w:p w14:paraId="03AE4815">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685987</w:t>
            </w:r>
          </w:p>
        </w:tc>
        <w:tc>
          <w:tcPr>
            <w:tcW w:w="998" w:type="dxa"/>
            <w:tcBorders>
              <w:top w:val="single" w:color="000000" w:sz="4" w:space="0"/>
              <w:left w:val="single" w:color="000000" w:sz="4" w:space="0"/>
              <w:bottom w:val="nil"/>
              <w:right w:val="nil"/>
            </w:tcBorders>
            <w:shd w:val="clear" w:color="auto" w:fill="auto"/>
            <w:noWrap/>
            <w:vAlign w:val="center"/>
          </w:tcPr>
          <w:p w14:paraId="72A9AB4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1052200</w:t>
            </w:r>
          </w:p>
        </w:tc>
        <w:tc>
          <w:tcPr>
            <w:tcW w:w="912" w:type="dxa"/>
            <w:tcBorders>
              <w:top w:val="single" w:color="000000" w:sz="4" w:space="0"/>
              <w:left w:val="single" w:color="000000" w:sz="4" w:space="0"/>
              <w:bottom w:val="nil"/>
              <w:right w:val="nil"/>
            </w:tcBorders>
            <w:shd w:val="clear" w:color="auto" w:fill="auto"/>
            <w:noWrap/>
            <w:vAlign w:val="center"/>
          </w:tcPr>
          <w:p w14:paraId="2957E69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712701</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21BC3EA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1256400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3A9AFBC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811079</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4C46A4C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885800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5120DF0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549655</w:t>
            </w:r>
          </w:p>
        </w:tc>
      </w:tr>
      <w:tr w14:paraId="3AA0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D72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10月</w:t>
            </w:r>
          </w:p>
        </w:tc>
        <w:tc>
          <w:tcPr>
            <w:tcW w:w="980" w:type="dxa"/>
            <w:tcBorders>
              <w:top w:val="single" w:color="000000" w:sz="4" w:space="0"/>
              <w:left w:val="single" w:color="000000" w:sz="4" w:space="0"/>
              <w:bottom w:val="nil"/>
              <w:right w:val="nil"/>
            </w:tcBorders>
            <w:shd w:val="clear" w:color="auto" w:fill="auto"/>
            <w:noWrap/>
            <w:vAlign w:val="center"/>
          </w:tcPr>
          <w:p w14:paraId="1C78233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868546</w:t>
            </w:r>
          </w:p>
        </w:tc>
        <w:tc>
          <w:tcPr>
            <w:tcW w:w="950" w:type="dxa"/>
            <w:tcBorders>
              <w:top w:val="single" w:color="000000" w:sz="4" w:space="0"/>
              <w:left w:val="single" w:color="000000" w:sz="4" w:space="0"/>
              <w:bottom w:val="nil"/>
              <w:right w:val="nil"/>
            </w:tcBorders>
            <w:shd w:val="clear" w:color="auto" w:fill="auto"/>
            <w:noWrap/>
            <w:vAlign w:val="center"/>
          </w:tcPr>
          <w:p w14:paraId="67045F1F">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574651</w:t>
            </w:r>
          </w:p>
        </w:tc>
        <w:tc>
          <w:tcPr>
            <w:tcW w:w="940" w:type="dxa"/>
            <w:tcBorders>
              <w:top w:val="single" w:color="000000" w:sz="4" w:space="0"/>
              <w:left w:val="single" w:color="000000" w:sz="4" w:space="0"/>
              <w:bottom w:val="nil"/>
              <w:right w:val="nil"/>
            </w:tcBorders>
            <w:shd w:val="clear" w:color="auto" w:fill="auto"/>
            <w:noWrap/>
            <w:vAlign w:val="center"/>
          </w:tcPr>
          <w:p w14:paraId="58C2E14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717160</w:t>
            </w:r>
          </w:p>
        </w:tc>
        <w:tc>
          <w:tcPr>
            <w:tcW w:w="862" w:type="dxa"/>
            <w:tcBorders>
              <w:top w:val="single" w:color="000000" w:sz="4" w:space="0"/>
              <w:left w:val="single" w:color="000000" w:sz="4" w:space="0"/>
              <w:bottom w:val="nil"/>
              <w:right w:val="nil"/>
            </w:tcBorders>
            <w:shd w:val="clear" w:color="auto" w:fill="auto"/>
            <w:noWrap/>
            <w:vAlign w:val="center"/>
          </w:tcPr>
          <w:p w14:paraId="247EAC4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474701</w:t>
            </w:r>
          </w:p>
        </w:tc>
        <w:tc>
          <w:tcPr>
            <w:tcW w:w="998" w:type="dxa"/>
            <w:tcBorders>
              <w:top w:val="single" w:color="000000" w:sz="4" w:space="0"/>
              <w:left w:val="single" w:color="000000" w:sz="4" w:space="0"/>
              <w:bottom w:val="nil"/>
              <w:right w:val="nil"/>
            </w:tcBorders>
            <w:shd w:val="clear" w:color="auto" w:fill="auto"/>
            <w:noWrap/>
            <w:vAlign w:val="center"/>
          </w:tcPr>
          <w:p w14:paraId="53AF73C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678160</w:t>
            </w:r>
          </w:p>
        </w:tc>
        <w:tc>
          <w:tcPr>
            <w:tcW w:w="912" w:type="dxa"/>
            <w:tcBorders>
              <w:top w:val="single" w:color="000000" w:sz="4" w:space="0"/>
              <w:left w:val="single" w:color="000000" w:sz="4" w:space="0"/>
              <w:bottom w:val="nil"/>
              <w:right w:val="nil"/>
            </w:tcBorders>
            <w:shd w:val="clear" w:color="auto" w:fill="auto"/>
            <w:noWrap/>
            <w:vAlign w:val="center"/>
          </w:tcPr>
          <w:p w14:paraId="652BC81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457592</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57CFC77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729200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3C1F81C4">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397150</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5DFF5C9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673000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040A536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438120</w:t>
            </w:r>
          </w:p>
        </w:tc>
      </w:tr>
      <w:tr w14:paraId="20C7F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845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11月</w:t>
            </w:r>
          </w:p>
        </w:tc>
        <w:tc>
          <w:tcPr>
            <w:tcW w:w="980" w:type="dxa"/>
            <w:tcBorders>
              <w:top w:val="single" w:color="000000" w:sz="4" w:space="0"/>
              <w:left w:val="single" w:color="000000" w:sz="4" w:space="0"/>
              <w:bottom w:val="nil"/>
              <w:right w:val="nil"/>
            </w:tcBorders>
            <w:shd w:val="clear" w:color="auto" w:fill="auto"/>
            <w:noWrap/>
            <w:vAlign w:val="center"/>
          </w:tcPr>
          <w:p w14:paraId="5A9E2CB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809374</w:t>
            </w:r>
          </w:p>
        </w:tc>
        <w:tc>
          <w:tcPr>
            <w:tcW w:w="950" w:type="dxa"/>
            <w:tcBorders>
              <w:top w:val="single" w:color="000000" w:sz="4" w:space="0"/>
              <w:left w:val="single" w:color="000000" w:sz="4" w:space="0"/>
              <w:bottom w:val="nil"/>
              <w:right w:val="nil"/>
            </w:tcBorders>
            <w:shd w:val="clear" w:color="auto" w:fill="auto"/>
            <w:noWrap/>
            <w:vAlign w:val="center"/>
          </w:tcPr>
          <w:p w14:paraId="0619E21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534456</w:t>
            </w:r>
          </w:p>
        </w:tc>
        <w:tc>
          <w:tcPr>
            <w:tcW w:w="940" w:type="dxa"/>
            <w:tcBorders>
              <w:top w:val="single" w:color="000000" w:sz="4" w:space="0"/>
              <w:left w:val="single" w:color="000000" w:sz="4" w:space="0"/>
              <w:bottom w:val="nil"/>
              <w:right w:val="nil"/>
            </w:tcBorders>
            <w:shd w:val="clear" w:color="auto" w:fill="auto"/>
            <w:noWrap/>
            <w:vAlign w:val="center"/>
          </w:tcPr>
          <w:p w14:paraId="093537E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807760</w:t>
            </w:r>
          </w:p>
        </w:tc>
        <w:tc>
          <w:tcPr>
            <w:tcW w:w="862" w:type="dxa"/>
            <w:tcBorders>
              <w:top w:val="single" w:color="000000" w:sz="4" w:space="0"/>
              <w:left w:val="single" w:color="000000" w:sz="4" w:space="0"/>
              <w:bottom w:val="nil"/>
              <w:right w:val="nil"/>
            </w:tcBorders>
            <w:shd w:val="clear" w:color="auto" w:fill="auto"/>
            <w:noWrap/>
            <w:vAlign w:val="center"/>
          </w:tcPr>
          <w:p w14:paraId="685E8E8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544865</w:t>
            </w:r>
          </w:p>
        </w:tc>
        <w:tc>
          <w:tcPr>
            <w:tcW w:w="998" w:type="dxa"/>
            <w:tcBorders>
              <w:top w:val="single" w:color="000000" w:sz="4" w:space="0"/>
              <w:left w:val="single" w:color="000000" w:sz="4" w:space="0"/>
              <w:bottom w:val="nil"/>
              <w:right w:val="nil"/>
            </w:tcBorders>
            <w:shd w:val="clear" w:color="auto" w:fill="auto"/>
            <w:noWrap/>
            <w:vAlign w:val="center"/>
          </w:tcPr>
          <w:p w14:paraId="519F449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866440</w:t>
            </w:r>
          </w:p>
        </w:tc>
        <w:tc>
          <w:tcPr>
            <w:tcW w:w="912" w:type="dxa"/>
            <w:tcBorders>
              <w:top w:val="single" w:color="000000" w:sz="4" w:space="0"/>
              <w:left w:val="single" w:color="000000" w:sz="4" w:space="0"/>
              <w:bottom w:val="nil"/>
              <w:right w:val="nil"/>
            </w:tcBorders>
            <w:shd w:val="clear" w:color="auto" w:fill="auto"/>
            <w:noWrap/>
            <w:vAlign w:val="center"/>
          </w:tcPr>
          <w:p w14:paraId="27CFF62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585008</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7C8B30C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806200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0464250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476513</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3DB3ABB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800000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0A09266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515046</w:t>
            </w:r>
          </w:p>
        </w:tc>
      </w:tr>
      <w:tr w14:paraId="27907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61D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12月</w:t>
            </w:r>
          </w:p>
        </w:tc>
        <w:tc>
          <w:tcPr>
            <w:tcW w:w="980" w:type="dxa"/>
            <w:tcBorders>
              <w:top w:val="single" w:color="000000" w:sz="4" w:space="0"/>
              <w:left w:val="single" w:color="000000" w:sz="4" w:space="0"/>
              <w:bottom w:val="nil"/>
              <w:right w:val="nil"/>
            </w:tcBorders>
            <w:shd w:val="clear" w:color="auto" w:fill="auto"/>
            <w:noWrap/>
            <w:vAlign w:val="center"/>
          </w:tcPr>
          <w:p w14:paraId="74A60734">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1046506</w:t>
            </w:r>
          </w:p>
        </w:tc>
        <w:tc>
          <w:tcPr>
            <w:tcW w:w="950" w:type="dxa"/>
            <w:tcBorders>
              <w:top w:val="single" w:color="000000" w:sz="4" w:space="0"/>
              <w:left w:val="single" w:color="000000" w:sz="4" w:space="0"/>
              <w:bottom w:val="nil"/>
              <w:right w:val="nil"/>
            </w:tcBorders>
            <w:shd w:val="clear" w:color="auto" w:fill="auto"/>
            <w:noWrap/>
            <w:vAlign w:val="center"/>
          </w:tcPr>
          <w:p w14:paraId="463A2FBA">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690532</w:t>
            </w:r>
          </w:p>
        </w:tc>
        <w:tc>
          <w:tcPr>
            <w:tcW w:w="940" w:type="dxa"/>
            <w:tcBorders>
              <w:top w:val="single" w:color="000000" w:sz="4" w:space="0"/>
              <w:left w:val="single" w:color="000000" w:sz="4" w:space="0"/>
              <w:bottom w:val="nil"/>
              <w:right w:val="nil"/>
            </w:tcBorders>
            <w:shd w:val="clear" w:color="auto" w:fill="auto"/>
            <w:noWrap/>
            <w:vAlign w:val="center"/>
          </w:tcPr>
          <w:p w14:paraId="79308F56">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1237840</w:t>
            </w:r>
          </w:p>
        </w:tc>
        <w:tc>
          <w:tcPr>
            <w:tcW w:w="862" w:type="dxa"/>
            <w:tcBorders>
              <w:top w:val="single" w:color="000000" w:sz="4" w:space="0"/>
              <w:left w:val="single" w:color="000000" w:sz="4" w:space="0"/>
              <w:bottom w:val="nil"/>
              <w:right w:val="nil"/>
            </w:tcBorders>
            <w:shd w:val="clear" w:color="auto" w:fill="auto"/>
            <w:noWrap/>
            <w:vAlign w:val="center"/>
          </w:tcPr>
          <w:p w14:paraId="22DBA9C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842560</w:t>
            </w:r>
          </w:p>
        </w:tc>
        <w:tc>
          <w:tcPr>
            <w:tcW w:w="998" w:type="dxa"/>
            <w:tcBorders>
              <w:top w:val="single" w:color="000000" w:sz="4" w:space="0"/>
              <w:left w:val="single" w:color="000000" w:sz="4" w:space="0"/>
              <w:bottom w:val="nil"/>
              <w:right w:val="nil"/>
            </w:tcBorders>
            <w:shd w:val="clear" w:color="auto" w:fill="auto"/>
            <w:noWrap/>
            <w:vAlign w:val="center"/>
          </w:tcPr>
          <w:p w14:paraId="35837E4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1201720</w:t>
            </w:r>
          </w:p>
        </w:tc>
        <w:tc>
          <w:tcPr>
            <w:tcW w:w="912" w:type="dxa"/>
            <w:tcBorders>
              <w:top w:val="single" w:color="000000" w:sz="4" w:space="0"/>
              <w:left w:val="single" w:color="000000" w:sz="4" w:space="0"/>
              <w:bottom w:val="nil"/>
              <w:right w:val="nil"/>
            </w:tcBorders>
            <w:shd w:val="clear" w:color="auto" w:fill="auto"/>
            <w:noWrap/>
            <w:vAlign w:val="center"/>
          </w:tcPr>
          <w:p w14:paraId="6A5432A1">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808323</w:t>
            </w:r>
          </w:p>
        </w:tc>
        <w:tc>
          <w:tcPr>
            <w:tcW w:w="961" w:type="dxa"/>
            <w:tcBorders>
              <w:top w:val="single" w:color="000000" w:sz="4" w:space="0"/>
              <w:left w:val="single" w:color="000000" w:sz="4" w:space="0"/>
              <w:bottom w:val="nil"/>
              <w:right w:val="single" w:color="auto" w:sz="4" w:space="0"/>
            </w:tcBorders>
            <w:shd w:val="clear" w:color="auto" w:fill="auto"/>
            <w:noWrap/>
            <w:vAlign w:val="center"/>
          </w:tcPr>
          <w:p w14:paraId="0279798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1164200</w:t>
            </w:r>
          </w:p>
        </w:tc>
        <w:tc>
          <w:tcPr>
            <w:tcW w:w="972" w:type="dxa"/>
            <w:tcBorders>
              <w:top w:val="single" w:color="000000" w:sz="4" w:space="0"/>
              <w:left w:val="single" w:color="auto" w:sz="4" w:space="0"/>
              <w:bottom w:val="nil"/>
              <w:right w:val="single" w:color="auto" w:sz="4" w:space="0"/>
            </w:tcBorders>
            <w:shd w:val="clear" w:color="auto" w:fill="auto"/>
            <w:noWrap/>
            <w:vAlign w:val="center"/>
          </w:tcPr>
          <w:p w14:paraId="2BC0804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736604</w:t>
            </w:r>
          </w:p>
        </w:tc>
        <w:tc>
          <w:tcPr>
            <w:tcW w:w="938" w:type="dxa"/>
            <w:tcBorders>
              <w:top w:val="single" w:color="000000" w:sz="4" w:space="0"/>
              <w:left w:val="single" w:color="auto" w:sz="4" w:space="0"/>
              <w:bottom w:val="nil"/>
              <w:right w:val="single" w:color="auto" w:sz="4" w:space="0"/>
            </w:tcBorders>
            <w:shd w:val="clear" w:color="auto" w:fill="auto"/>
            <w:noWrap/>
            <w:vAlign w:val="center"/>
          </w:tcPr>
          <w:p w14:paraId="2F401A8B">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1033400</w:t>
            </w:r>
          </w:p>
        </w:tc>
        <w:tc>
          <w:tcPr>
            <w:tcW w:w="894" w:type="dxa"/>
            <w:tcBorders>
              <w:top w:val="single" w:color="000000" w:sz="4" w:space="0"/>
              <w:left w:val="single" w:color="auto" w:sz="4" w:space="0"/>
              <w:bottom w:val="nil"/>
              <w:right w:val="single" w:color="auto" w:sz="4" w:space="0"/>
            </w:tcBorders>
            <w:shd w:val="clear" w:color="auto" w:fill="auto"/>
            <w:noWrap/>
            <w:vAlign w:val="center"/>
          </w:tcPr>
          <w:p w14:paraId="21C96B05">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698367</w:t>
            </w:r>
          </w:p>
        </w:tc>
      </w:tr>
      <w:tr w14:paraId="15BD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6E5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合计</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F7FE">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12488333</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0920">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7426716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DA5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12598427</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E755">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8494390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D39F">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12170160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AF1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8377585</w:t>
            </w:r>
          </w:p>
        </w:tc>
        <w:tc>
          <w:tcPr>
            <w:tcW w:w="9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74CD578">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13943627</w:t>
            </w:r>
          </w:p>
        </w:tc>
        <w:tc>
          <w:tcPr>
            <w:tcW w:w="972"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7DD1409C">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9178521</w:t>
            </w:r>
          </w:p>
        </w:tc>
        <w:tc>
          <w:tcPr>
            <w:tcW w:w="938"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740793A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13131800</w:t>
            </w:r>
          </w:p>
        </w:tc>
        <w:tc>
          <w:tcPr>
            <w:tcW w:w="894"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71094259">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8790524</w:t>
            </w:r>
          </w:p>
        </w:tc>
      </w:tr>
    </w:tbl>
    <w:p w14:paraId="10395C14">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2.平顶山市第一人民医院（优越路院区）近5年用水量数据表，如下：</w:t>
      </w:r>
    </w:p>
    <w:tbl>
      <w:tblPr>
        <w:tblStyle w:val="17"/>
        <w:tblW w:w="5521" w:type="pct"/>
        <w:tblInd w:w="-4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079"/>
        <w:gridCol w:w="762"/>
        <w:gridCol w:w="852"/>
        <w:gridCol w:w="762"/>
        <w:gridCol w:w="1032"/>
        <w:gridCol w:w="762"/>
        <w:gridCol w:w="1032"/>
        <w:gridCol w:w="762"/>
        <w:gridCol w:w="852"/>
        <w:gridCol w:w="1164"/>
        <w:gridCol w:w="946"/>
      </w:tblGrid>
      <w:tr w14:paraId="2FE66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0" w:hRule="atLeast"/>
        </w:trPr>
        <w:tc>
          <w:tcPr>
            <w:tcW w:w="539" w:type="pct"/>
            <w:tcBorders>
              <w:tl2br w:val="nil"/>
              <w:tr2bl w:val="nil"/>
            </w:tcBorders>
            <w:shd w:val="clear" w:color="auto" w:fill="auto"/>
            <w:noWrap/>
            <w:vAlign w:val="center"/>
          </w:tcPr>
          <w:p w14:paraId="478CD563">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水</w:t>
            </w:r>
          </w:p>
        </w:tc>
        <w:tc>
          <w:tcPr>
            <w:tcW w:w="806" w:type="pct"/>
            <w:gridSpan w:val="2"/>
            <w:tcBorders>
              <w:tl2br w:val="nil"/>
              <w:tr2bl w:val="nil"/>
            </w:tcBorders>
            <w:shd w:val="clear" w:color="auto" w:fill="auto"/>
            <w:noWrap/>
            <w:vAlign w:val="center"/>
          </w:tcPr>
          <w:p w14:paraId="0844B6F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★2021年</w:t>
            </w:r>
          </w:p>
        </w:tc>
        <w:tc>
          <w:tcPr>
            <w:tcW w:w="896" w:type="pct"/>
            <w:gridSpan w:val="2"/>
            <w:tcBorders>
              <w:tl2br w:val="nil"/>
              <w:tr2bl w:val="nil"/>
            </w:tcBorders>
            <w:shd w:val="clear" w:color="auto" w:fill="auto"/>
            <w:noWrap/>
            <w:vAlign w:val="center"/>
          </w:tcPr>
          <w:p w14:paraId="08E2126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★2022年</w:t>
            </w:r>
          </w:p>
        </w:tc>
        <w:tc>
          <w:tcPr>
            <w:tcW w:w="896" w:type="pct"/>
            <w:gridSpan w:val="2"/>
            <w:tcBorders>
              <w:tl2br w:val="nil"/>
              <w:tr2bl w:val="nil"/>
            </w:tcBorders>
            <w:shd w:val="clear" w:color="auto" w:fill="auto"/>
            <w:noWrap/>
            <w:vAlign w:val="center"/>
          </w:tcPr>
          <w:p w14:paraId="152EE06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★2023年</w:t>
            </w:r>
          </w:p>
        </w:tc>
        <w:tc>
          <w:tcPr>
            <w:tcW w:w="806" w:type="pct"/>
            <w:gridSpan w:val="2"/>
            <w:tcBorders>
              <w:tl2br w:val="nil"/>
              <w:tr2bl w:val="nil"/>
            </w:tcBorders>
            <w:shd w:val="clear" w:color="auto" w:fill="auto"/>
            <w:noWrap/>
            <w:vAlign w:val="center"/>
          </w:tcPr>
          <w:p w14:paraId="1F140AF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★2024年</w:t>
            </w:r>
          </w:p>
        </w:tc>
        <w:tc>
          <w:tcPr>
            <w:tcW w:w="1054" w:type="pct"/>
            <w:gridSpan w:val="2"/>
            <w:tcBorders>
              <w:tl2br w:val="nil"/>
              <w:tr2bl w:val="nil"/>
            </w:tcBorders>
            <w:shd w:val="clear" w:color="auto" w:fill="auto"/>
            <w:noWrap/>
            <w:vAlign w:val="center"/>
          </w:tcPr>
          <w:p w14:paraId="2695BBB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★2025年</w:t>
            </w:r>
          </w:p>
        </w:tc>
      </w:tr>
      <w:tr w14:paraId="3A3A6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539" w:type="pct"/>
            <w:vMerge w:val="restart"/>
            <w:tcBorders>
              <w:tl2br w:val="nil"/>
              <w:tr2bl w:val="nil"/>
            </w:tcBorders>
            <w:shd w:val="clear" w:color="auto" w:fill="auto"/>
            <w:noWrap/>
            <w:vAlign w:val="center"/>
          </w:tcPr>
          <w:p w14:paraId="55FB5327">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r>
              <w:rPr>
                <w:rFonts w:hint="eastAsia" w:ascii="仿宋" w:hAnsi="仿宋" w:eastAsia="仿宋" w:cs="仿宋"/>
                <w:i w:val="0"/>
                <w:iCs w:val="0"/>
                <w:color w:val="auto"/>
                <w:spacing w:val="-2"/>
                <w:kern w:val="0"/>
                <w:sz w:val="18"/>
                <w:szCs w:val="18"/>
                <w:u w:val="none"/>
                <w:lang w:val="en-US" w:eastAsia="zh-CN" w:bidi="ar"/>
              </w:rPr>
              <w:t>月份</w:t>
            </w:r>
          </w:p>
        </w:tc>
        <w:tc>
          <w:tcPr>
            <w:tcW w:w="380" w:type="pct"/>
            <w:tcBorders>
              <w:tl2br w:val="nil"/>
              <w:tr2bl w:val="nil"/>
            </w:tcBorders>
            <w:shd w:val="clear" w:color="auto" w:fill="auto"/>
            <w:noWrap/>
            <w:vAlign w:val="center"/>
          </w:tcPr>
          <w:p w14:paraId="1EC1765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水量</w:t>
            </w:r>
          </w:p>
        </w:tc>
        <w:tc>
          <w:tcPr>
            <w:tcW w:w="425" w:type="pct"/>
            <w:tcBorders>
              <w:tl2br w:val="nil"/>
              <w:tr2bl w:val="nil"/>
            </w:tcBorders>
            <w:shd w:val="clear" w:color="auto" w:fill="auto"/>
            <w:noWrap/>
            <w:vAlign w:val="center"/>
          </w:tcPr>
          <w:p w14:paraId="01121A3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水费</w:t>
            </w:r>
          </w:p>
        </w:tc>
        <w:tc>
          <w:tcPr>
            <w:tcW w:w="380" w:type="pct"/>
            <w:tcBorders>
              <w:tl2br w:val="nil"/>
              <w:tr2bl w:val="nil"/>
            </w:tcBorders>
            <w:shd w:val="clear" w:color="auto" w:fill="auto"/>
            <w:noWrap/>
            <w:vAlign w:val="center"/>
          </w:tcPr>
          <w:p w14:paraId="60BB466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水量</w:t>
            </w:r>
          </w:p>
        </w:tc>
        <w:tc>
          <w:tcPr>
            <w:tcW w:w="515" w:type="pct"/>
            <w:tcBorders>
              <w:tl2br w:val="nil"/>
              <w:tr2bl w:val="nil"/>
            </w:tcBorders>
            <w:shd w:val="clear" w:color="auto" w:fill="auto"/>
            <w:noWrap/>
            <w:vAlign w:val="center"/>
          </w:tcPr>
          <w:p w14:paraId="45B88DB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水费</w:t>
            </w:r>
          </w:p>
        </w:tc>
        <w:tc>
          <w:tcPr>
            <w:tcW w:w="380" w:type="pct"/>
            <w:tcBorders>
              <w:tl2br w:val="nil"/>
              <w:tr2bl w:val="nil"/>
            </w:tcBorders>
            <w:shd w:val="clear" w:color="auto" w:fill="auto"/>
            <w:noWrap/>
            <w:vAlign w:val="center"/>
          </w:tcPr>
          <w:p w14:paraId="5FFE5EF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水量</w:t>
            </w:r>
          </w:p>
        </w:tc>
        <w:tc>
          <w:tcPr>
            <w:tcW w:w="515" w:type="pct"/>
            <w:tcBorders>
              <w:tl2br w:val="nil"/>
              <w:tr2bl w:val="nil"/>
            </w:tcBorders>
            <w:shd w:val="clear" w:color="auto" w:fill="auto"/>
            <w:noWrap/>
            <w:vAlign w:val="center"/>
          </w:tcPr>
          <w:p w14:paraId="3BA05AC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水费</w:t>
            </w:r>
          </w:p>
        </w:tc>
        <w:tc>
          <w:tcPr>
            <w:tcW w:w="380" w:type="pct"/>
            <w:tcBorders>
              <w:tl2br w:val="nil"/>
              <w:tr2bl w:val="nil"/>
            </w:tcBorders>
            <w:shd w:val="clear" w:color="auto" w:fill="auto"/>
            <w:noWrap/>
            <w:vAlign w:val="center"/>
          </w:tcPr>
          <w:p w14:paraId="0CD4838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水量</w:t>
            </w:r>
          </w:p>
        </w:tc>
        <w:tc>
          <w:tcPr>
            <w:tcW w:w="425" w:type="pct"/>
            <w:tcBorders>
              <w:tl2br w:val="nil"/>
              <w:tr2bl w:val="nil"/>
            </w:tcBorders>
            <w:shd w:val="clear" w:color="auto" w:fill="auto"/>
            <w:noWrap/>
            <w:vAlign w:val="center"/>
          </w:tcPr>
          <w:p w14:paraId="008ED69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水费</w:t>
            </w:r>
          </w:p>
        </w:tc>
        <w:tc>
          <w:tcPr>
            <w:tcW w:w="581" w:type="pct"/>
            <w:tcBorders>
              <w:tl2br w:val="nil"/>
              <w:tr2bl w:val="nil"/>
            </w:tcBorders>
            <w:shd w:val="clear" w:color="auto" w:fill="auto"/>
            <w:noWrap/>
            <w:vAlign w:val="center"/>
          </w:tcPr>
          <w:p w14:paraId="72A2F57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水量</w:t>
            </w:r>
          </w:p>
        </w:tc>
        <w:tc>
          <w:tcPr>
            <w:tcW w:w="472" w:type="pct"/>
            <w:tcBorders>
              <w:tl2br w:val="nil"/>
              <w:tr2bl w:val="nil"/>
            </w:tcBorders>
            <w:shd w:val="clear" w:color="auto" w:fill="auto"/>
            <w:noWrap/>
            <w:vAlign w:val="center"/>
          </w:tcPr>
          <w:p w14:paraId="5761205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水费</w:t>
            </w:r>
          </w:p>
        </w:tc>
      </w:tr>
      <w:tr w14:paraId="779FE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539" w:type="pct"/>
            <w:vMerge w:val="continue"/>
            <w:tcBorders>
              <w:tl2br w:val="nil"/>
              <w:tr2bl w:val="nil"/>
            </w:tcBorders>
            <w:shd w:val="clear" w:color="auto" w:fill="auto"/>
            <w:noWrap/>
            <w:vAlign w:val="center"/>
          </w:tcPr>
          <w:p w14:paraId="129754B2">
            <w:pPr>
              <w:keepNext w:val="0"/>
              <w:keepLines w:val="0"/>
              <w:widowControl/>
              <w:suppressLineNumbers w:val="0"/>
              <w:jc w:val="center"/>
              <w:textAlignment w:val="center"/>
              <w:rPr>
                <w:rFonts w:hint="eastAsia" w:ascii="仿宋" w:hAnsi="仿宋" w:eastAsia="仿宋" w:cs="仿宋"/>
                <w:i w:val="0"/>
                <w:iCs w:val="0"/>
                <w:color w:val="auto"/>
                <w:spacing w:val="-2"/>
                <w:kern w:val="0"/>
                <w:sz w:val="18"/>
                <w:szCs w:val="18"/>
                <w:u w:val="none"/>
                <w:lang w:val="en-US" w:eastAsia="zh-CN" w:bidi="ar"/>
              </w:rPr>
            </w:pPr>
          </w:p>
        </w:tc>
        <w:tc>
          <w:tcPr>
            <w:tcW w:w="380" w:type="pct"/>
            <w:tcBorders>
              <w:tl2br w:val="nil"/>
              <w:tr2bl w:val="nil"/>
            </w:tcBorders>
            <w:shd w:val="clear" w:color="auto" w:fill="auto"/>
            <w:noWrap/>
            <w:vAlign w:val="center"/>
          </w:tcPr>
          <w:p w14:paraId="3056157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吨</w:t>
            </w:r>
          </w:p>
        </w:tc>
        <w:tc>
          <w:tcPr>
            <w:tcW w:w="425" w:type="pct"/>
            <w:tcBorders>
              <w:tl2br w:val="nil"/>
              <w:tr2bl w:val="nil"/>
            </w:tcBorders>
            <w:shd w:val="clear" w:color="auto" w:fill="auto"/>
            <w:noWrap/>
            <w:vAlign w:val="center"/>
          </w:tcPr>
          <w:p w14:paraId="470AB55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380" w:type="pct"/>
            <w:tcBorders>
              <w:tl2br w:val="nil"/>
              <w:tr2bl w:val="nil"/>
            </w:tcBorders>
            <w:shd w:val="clear" w:color="auto" w:fill="auto"/>
            <w:noWrap/>
            <w:vAlign w:val="center"/>
          </w:tcPr>
          <w:p w14:paraId="15EC179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吨</w:t>
            </w:r>
          </w:p>
        </w:tc>
        <w:tc>
          <w:tcPr>
            <w:tcW w:w="515" w:type="pct"/>
            <w:tcBorders>
              <w:tl2br w:val="nil"/>
              <w:tr2bl w:val="nil"/>
            </w:tcBorders>
            <w:shd w:val="clear" w:color="auto" w:fill="auto"/>
            <w:noWrap/>
            <w:vAlign w:val="center"/>
          </w:tcPr>
          <w:p w14:paraId="4E33B0B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380" w:type="pct"/>
            <w:tcBorders>
              <w:tl2br w:val="nil"/>
              <w:tr2bl w:val="nil"/>
            </w:tcBorders>
            <w:shd w:val="clear" w:color="auto" w:fill="auto"/>
            <w:noWrap/>
            <w:vAlign w:val="center"/>
          </w:tcPr>
          <w:p w14:paraId="11CA491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吨</w:t>
            </w:r>
          </w:p>
        </w:tc>
        <w:tc>
          <w:tcPr>
            <w:tcW w:w="515" w:type="pct"/>
            <w:tcBorders>
              <w:tl2br w:val="nil"/>
              <w:tr2bl w:val="nil"/>
            </w:tcBorders>
            <w:shd w:val="clear" w:color="auto" w:fill="auto"/>
            <w:noWrap/>
            <w:vAlign w:val="center"/>
          </w:tcPr>
          <w:p w14:paraId="56B6475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380" w:type="pct"/>
            <w:tcBorders>
              <w:tl2br w:val="nil"/>
              <w:tr2bl w:val="nil"/>
            </w:tcBorders>
            <w:shd w:val="clear" w:color="auto" w:fill="auto"/>
            <w:noWrap/>
            <w:vAlign w:val="center"/>
          </w:tcPr>
          <w:p w14:paraId="7F068B0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吨</w:t>
            </w:r>
          </w:p>
        </w:tc>
        <w:tc>
          <w:tcPr>
            <w:tcW w:w="425" w:type="pct"/>
            <w:tcBorders>
              <w:tl2br w:val="nil"/>
              <w:tr2bl w:val="nil"/>
            </w:tcBorders>
            <w:shd w:val="clear" w:color="auto" w:fill="auto"/>
            <w:noWrap/>
            <w:vAlign w:val="center"/>
          </w:tcPr>
          <w:p w14:paraId="5D869E8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c>
          <w:tcPr>
            <w:tcW w:w="581" w:type="pct"/>
            <w:tcBorders>
              <w:tl2br w:val="nil"/>
              <w:tr2bl w:val="nil"/>
            </w:tcBorders>
            <w:shd w:val="clear" w:color="auto" w:fill="auto"/>
            <w:noWrap/>
            <w:vAlign w:val="center"/>
          </w:tcPr>
          <w:p w14:paraId="2BF63E6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吨</w:t>
            </w:r>
          </w:p>
        </w:tc>
        <w:tc>
          <w:tcPr>
            <w:tcW w:w="472" w:type="pct"/>
            <w:tcBorders>
              <w:tl2br w:val="nil"/>
              <w:tr2bl w:val="nil"/>
            </w:tcBorders>
            <w:shd w:val="clear" w:color="auto" w:fill="auto"/>
            <w:noWrap/>
            <w:vAlign w:val="center"/>
          </w:tcPr>
          <w:p w14:paraId="269DFFB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元</w:t>
            </w:r>
          </w:p>
        </w:tc>
      </w:tr>
      <w:tr w14:paraId="08CF8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2D4362AC">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1月</w:t>
            </w:r>
          </w:p>
        </w:tc>
        <w:tc>
          <w:tcPr>
            <w:tcW w:w="380" w:type="pct"/>
            <w:tcBorders>
              <w:tl2br w:val="nil"/>
              <w:tr2bl w:val="nil"/>
            </w:tcBorders>
            <w:shd w:val="clear" w:color="auto" w:fill="auto"/>
            <w:noWrap/>
            <w:vAlign w:val="center"/>
          </w:tcPr>
          <w:p w14:paraId="03E42BB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37000</w:t>
            </w:r>
          </w:p>
        </w:tc>
        <w:tc>
          <w:tcPr>
            <w:tcW w:w="425" w:type="pct"/>
            <w:tcBorders>
              <w:tl2br w:val="nil"/>
              <w:tr2bl w:val="nil"/>
            </w:tcBorders>
            <w:shd w:val="clear" w:color="auto" w:fill="auto"/>
            <w:noWrap/>
            <w:vAlign w:val="center"/>
          </w:tcPr>
          <w:p w14:paraId="7A2BAF4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122100</w:t>
            </w:r>
          </w:p>
        </w:tc>
        <w:tc>
          <w:tcPr>
            <w:tcW w:w="380" w:type="pct"/>
            <w:tcBorders>
              <w:tl2br w:val="nil"/>
              <w:tr2bl w:val="nil"/>
            </w:tcBorders>
            <w:shd w:val="clear" w:color="auto" w:fill="auto"/>
            <w:noWrap/>
            <w:vAlign w:val="center"/>
          </w:tcPr>
          <w:p w14:paraId="3B46B80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25000</w:t>
            </w:r>
          </w:p>
        </w:tc>
        <w:tc>
          <w:tcPr>
            <w:tcW w:w="515" w:type="pct"/>
            <w:tcBorders>
              <w:tl2br w:val="nil"/>
              <w:tr2bl w:val="nil"/>
            </w:tcBorders>
            <w:shd w:val="clear" w:color="auto" w:fill="auto"/>
            <w:noWrap/>
            <w:vAlign w:val="center"/>
          </w:tcPr>
          <w:p w14:paraId="68C6AF1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82500</w:t>
            </w:r>
          </w:p>
        </w:tc>
        <w:tc>
          <w:tcPr>
            <w:tcW w:w="380" w:type="pct"/>
            <w:tcBorders>
              <w:tl2br w:val="nil"/>
              <w:tr2bl w:val="nil"/>
            </w:tcBorders>
            <w:shd w:val="clear" w:color="auto" w:fill="auto"/>
            <w:noWrap/>
            <w:vAlign w:val="center"/>
          </w:tcPr>
          <w:p w14:paraId="55AE296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39000</w:t>
            </w:r>
          </w:p>
        </w:tc>
        <w:tc>
          <w:tcPr>
            <w:tcW w:w="515" w:type="pct"/>
            <w:tcBorders>
              <w:tl2br w:val="nil"/>
              <w:tr2bl w:val="nil"/>
            </w:tcBorders>
            <w:shd w:val="clear" w:color="auto" w:fill="auto"/>
            <w:noWrap/>
            <w:vAlign w:val="center"/>
          </w:tcPr>
          <w:p w14:paraId="7B5E3BE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128700</w:t>
            </w:r>
          </w:p>
        </w:tc>
        <w:tc>
          <w:tcPr>
            <w:tcW w:w="380" w:type="pct"/>
            <w:tcBorders>
              <w:tl2br w:val="nil"/>
              <w:tr2bl w:val="nil"/>
            </w:tcBorders>
            <w:shd w:val="clear" w:color="auto" w:fill="auto"/>
            <w:noWrap/>
            <w:vAlign w:val="center"/>
          </w:tcPr>
          <w:p w14:paraId="0A28DD0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35240</w:t>
            </w:r>
          </w:p>
        </w:tc>
        <w:tc>
          <w:tcPr>
            <w:tcW w:w="425" w:type="pct"/>
            <w:tcBorders>
              <w:tl2br w:val="nil"/>
              <w:tr2bl w:val="nil"/>
            </w:tcBorders>
            <w:shd w:val="clear" w:color="auto" w:fill="auto"/>
            <w:noWrap/>
            <w:vAlign w:val="center"/>
          </w:tcPr>
          <w:p w14:paraId="0A35DEF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116292</w:t>
            </w:r>
          </w:p>
        </w:tc>
        <w:tc>
          <w:tcPr>
            <w:tcW w:w="581" w:type="pct"/>
            <w:tcBorders>
              <w:tl2br w:val="nil"/>
              <w:tr2bl w:val="nil"/>
            </w:tcBorders>
            <w:shd w:val="clear" w:color="auto" w:fill="auto"/>
            <w:noWrap/>
            <w:vAlign w:val="center"/>
          </w:tcPr>
          <w:p w14:paraId="0B0D6E4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38880</w:t>
            </w:r>
          </w:p>
        </w:tc>
        <w:tc>
          <w:tcPr>
            <w:tcW w:w="472" w:type="pct"/>
            <w:tcBorders>
              <w:tl2br w:val="nil"/>
              <w:tr2bl w:val="nil"/>
            </w:tcBorders>
            <w:shd w:val="clear" w:color="auto" w:fill="auto"/>
            <w:noWrap/>
            <w:vAlign w:val="center"/>
          </w:tcPr>
          <w:p w14:paraId="6747401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128304</w:t>
            </w:r>
          </w:p>
        </w:tc>
      </w:tr>
      <w:tr w14:paraId="6E65A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4C972AF5">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2月</w:t>
            </w:r>
          </w:p>
        </w:tc>
        <w:tc>
          <w:tcPr>
            <w:tcW w:w="380" w:type="pct"/>
            <w:tcBorders>
              <w:tl2br w:val="nil"/>
              <w:tr2bl w:val="nil"/>
            </w:tcBorders>
            <w:shd w:val="clear" w:color="auto" w:fill="auto"/>
            <w:noWrap/>
            <w:vAlign w:val="center"/>
          </w:tcPr>
          <w:p w14:paraId="024B38B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41800</w:t>
            </w:r>
          </w:p>
        </w:tc>
        <w:tc>
          <w:tcPr>
            <w:tcW w:w="425" w:type="pct"/>
            <w:tcBorders>
              <w:tl2br w:val="nil"/>
              <w:tr2bl w:val="nil"/>
            </w:tcBorders>
            <w:shd w:val="clear" w:color="auto" w:fill="auto"/>
            <w:noWrap/>
            <w:vAlign w:val="center"/>
          </w:tcPr>
          <w:p w14:paraId="7BBF27A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137940</w:t>
            </w:r>
          </w:p>
        </w:tc>
        <w:tc>
          <w:tcPr>
            <w:tcW w:w="380" w:type="pct"/>
            <w:tcBorders>
              <w:tl2br w:val="nil"/>
              <w:tr2bl w:val="nil"/>
            </w:tcBorders>
            <w:shd w:val="clear" w:color="auto" w:fill="auto"/>
            <w:noWrap/>
            <w:vAlign w:val="center"/>
          </w:tcPr>
          <w:p w14:paraId="470A9B2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29698</w:t>
            </w:r>
          </w:p>
        </w:tc>
        <w:tc>
          <w:tcPr>
            <w:tcW w:w="515" w:type="pct"/>
            <w:tcBorders>
              <w:tl2br w:val="nil"/>
              <w:tr2bl w:val="nil"/>
            </w:tcBorders>
            <w:shd w:val="clear" w:color="auto" w:fill="auto"/>
            <w:noWrap/>
            <w:vAlign w:val="center"/>
          </w:tcPr>
          <w:p w14:paraId="11B3E0D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98003.4</w:t>
            </w:r>
          </w:p>
        </w:tc>
        <w:tc>
          <w:tcPr>
            <w:tcW w:w="380" w:type="pct"/>
            <w:tcBorders>
              <w:tl2br w:val="nil"/>
              <w:tr2bl w:val="nil"/>
            </w:tcBorders>
            <w:shd w:val="clear" w:color="auto" w:fill="auto"/>
            <w:noWrap/>
            <w:vAlign w:val="center"/>
          </w:tcPr>
          <w:p w14:paraId="797FCC6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31000</w:t>
            </w:r>
          </w:p>
        </w:tc>
        <w:tc>
          <w:tcPr>
            <w:tcW w:w="515" w:type="pct"/>
            <w:tcBorders>
              <w:tl2br w:val="nil"/>
              <w:tr2bl w:val="nil"/>
            </w:tcBorders>
            <w:shd w:val="clear" w:color="auto" w:fill="auto"/>
            <w:noWrap/>
            <w:vAlign w:val="center"/>
          </w:tcPr>
          <w:p w14:paraId="190BCB0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102300</w:t>
            </w:r>
          </w:p>
        </w:tc>
        <w:tc>
          <w:tcPr>
            <w:tcW w:w="380" w:type="pct"/>
            <w:tcBorders>
              <w:tl2br w:val="nil"/>
              <w:tr2bl w:val="nil"/>
            </w:tcBorders>
            <w:shd w:val="clear" w:color="auto" w:fill="auto"/>
            <w:noWrap/>
            <w:vAlign w:val="center"/>
          </w:tcPr>
          <w:p w14:paraId="319CAA6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32040</w:t>
            </w:r>
          </w:p>
        </w:tc>
        <w:tc>
          <w:tcPr>
            <w:tcW w:w="425" w:type="pct"/>
            <w:tcBorders>
              <w:tl2br w:val="nil"/>
              <w:tr2bl w:val="nil"/>
            </w:tcBorders>
            <w:shd w:val="clear" w:color="auto" w:fill="auto"/>
            <w:noWrap/>
            <w:vAlign w:val="center"/>
          </w:tcPr>
          <w:p w14:paraId="79FC275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105732</w:t>
            </w:r>
          </w:p>
        </w:tc>
        <w:tc>
          <w:tcPr>
            <w:tcW w:w="581" w:type="pct"/>
            <w:tcBorders>
              <w:tl2br w:val="nil"/>
              <w:tr2bl w:val="nil"/>
            </w:tcBorders>
            <w:shd w:val="clear" w:color="auto" w:fill="auto"/>
            <w:noWrap/>
            <w:vAlign w:val="center"/>
          </w:tcPr>
          <w:p w14:paraId="1270CC9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32200</w:t>
            </w:r>
          </w:p>
        </w:tc>
        <w:tc>
          <w:tcPr>
            <w:tcW w:w="472" w:type="pct"/>
            <w:tcBorders>
              <w:tl2br w:val="nil"/>
              <w:tr2bl w:val="nil"/>
            </w:tcBorders>
            <w:shd w:val="clear" w:color="auto" w:fill="auto"/>
            <w:noWrap/>
            <w:vAlign w:val="center"/>
          </w:tcPr>
          <w:p w14:paraId="7C1B5A5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106260</w:t>
            </w:r>
          </w:p>
        </w:tc>
      </w:tr>
      <w:tr w14:paraId="700BE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1E32A824">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3月</w:t>
            </w:r>
          </w:p>
        </w:tc>
        <w:tc>
          <w:tcPr>
            <w:tcW w:w="380" w:type="pct"/>
            <w:tcBorders>
              <w:tl2br w:val="nil"/>
              <w:tr2bl w:val="nil"/>
            </w:tcBorders>
            <w:shd w:val="clear" w:color="auto" w:fill="auto"/>
            <w:noWrap/>
            <w:vAlign w:val="center"/>
          </w:tcPr>
          <w:p w14:paraId="31CED3F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33000</w:t>
            </w:r>
          </w:p>
        </w:tc>
        <w:tc>
          <w:tcPr>
            <w:tcW w:w="425" w:type="pct"/>
            <w:tcBorders>
              <w:tl2br w:val="nil"/>
              <w:tr2bl w:val="nil"/>
            </w:tcBorders>
            <w:shd w:val="clear" w:color="auto" w:fill="auto"/>
            <w:noWrap/>
            <w:vAlign w:val="center"/>
          </w:tcPr>
          <w:p w14:paraId="361C090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108900</w:t>
            </w:r>
          </w:p>
        </w:tc>
        <w:tc>
          <w:tcPr>
            <w:tcW w:w="380" w:type="pct"/>
            <w:tcBorders>
              <w:tl2br w:val="nil"/>
              <w:tr2bl w:val="nil"/>
            </w:tcBorders>
            <w:shd w:val="clear" w:color="auto" w:fill="auto"/>
            <w:noWrap/>
            <w:vAlign w:val="center"/>
          </w:tcPr>
          <w:p w14:paraId="52161D5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31600</w:t>
            </w:r>
          </w:p>
        </w:tc>
        <w:tc>
          <w:tcPr>
            <w:tcW w:w="515" w:type="pct"/>
            <w:tcBorders>
              <w:tl2br w:val="nil"/>
              <w:tr2bl w:val="nil"/>
            </w:tcBorders>
            <w:shd w:val="clear" w:color="auto" w:fill="auto"/>
            <w:noWrap/>
            <w:vAlign w:val="center"/>
          </w:tcPr>
          <w:p w14:paraId="6ADC9F8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104280</w:t>
            </w:r>
          </w:p>
        </w:tc>
        <w:tc>
          <w:tcPr>
            <w:tcW w:w="380" w:type="pct"/>
            <w:tcBorders>
              <w:tl2br w:val="nil"/>
              <w:tr2bl w:val="nil"/>
            </w:tcBorders>
            <w:shd w:val="clear" w:color="auto" w:fill="auto"/>
            <w:noWrap/>
            <w:vAlign w:val="center"/>
          </w:tcPr>
          <w:p w14:paraId="3398E4C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39781</w:t>
            </w:r>
          </w:p>
        </w:tc>
        <w:tc>
          <w:tcPr>
            <w:tcW w:w="515" w:type="pct"/>
            <w:tcBorders>
              <w:tl2br w:val="nil"/>
              <w:tr2bl w:val="nil"/>
            </w:tcBorders>
            <w:shd w:val="clear" w:color="auto" w:fill="auto"/>
            <w:noWrap/>
            <w:vAlign w:val="center"/>
          </w:tcPr>
          <w:p w14:paraId="551CAAD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131277.3</w:t>
            </w:r>
          </w:p>
        </w:tc>
        <w:tc>
          <w:tcPr>
            <w:tcW w:w="380" w:type="pct"/>
            <w:tcBorders>
              <w:tl2br w:val="nil"/>
              <w:tr2bl w:val="nil"/>
            </w:tcBorders>
            <w:shd w:val="clear" w:color="auto" w:fill="auto"/>
            <w:noWrap/>
            <w:vAlign w:val="center"/>
          </w:tcPr>
          <w:p w14:paraId="57389A8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44680</w:t>
            </w:r>
          </w:p>
        </w:tc>
        <w:tc>
          <w:tcPr>
            <w:tcW w:w="425" w:type="pct"/>
            <w:tcBorders>
              <w:tl2br w:val="nil"/>
              <w:tr2bl w:val="nil"/>
            </w:tcBorders>
            <w:shd w:val="clear" w:color="auto" w:fill="auto"/>
            <w:noWrap/>
            <w:vAlign w:val="center"/>
          </w:tcPr>
          <w:p w14:paraId="243A370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147444</w:t>
            </w:r>
          </w:p>
        </w:tc>
        <w:tc>
          <w:tcPr>
            <w:tcW w:w="581" w:type="pct"/>
            <w:tcBorders>
              <w:tl2br w:val="nil"/>
              <w:tr2bl w:val="nil"/>
            </w:tcBorders>
            <w:shd w:val="clear" w:color="auto" w:fill="auto"/>
            <w:noWrap/>
            <w:vAlign w:val="center"/>
          </w:tcPr>
          <w:p w14:paraId="313C8EF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32060</w:t>
            </w:r>
          </w:p>
        </w:tc>
        <w:tc>
          <w:tcPr>
            <w:tcW w:w="472" w:type="pct"/>
            <w:tcBorders>
              <w:tl2br w:val="nil"/>
              <w:tr2bl w:val="nil"/>
            </w:tcBorders>
            <w:shd w:val="clear" w:color="auto" w:fill="auto"/>
            <w:noWrap/>
            <w:vAlign w:val="center"/>
          </w:tcPr>
          <w:p w14:paraId="239CC1C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105798</w:t>
            </w:r>
          </w:p>
        </w:tc>
      </w:tr>
      <w:tr w14:paraId="13EAB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506432A9">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4月</w:t>
            </w:r>
          </w:p>
        </w:tc>
        <w:tc>
          <w:tcPr>
            <w:tcW w:w="380" w:type="pct"/>
            <w:tcBorders>
              <w:tl2br w:val="nil"/>
              <w:tr2bl w:val="nil"/>
            </w:tcBorders>
            <w:shd w:val="clear" w:color="auto" w:fill="auto"/>
            <w:noWrap/>
            <w:vAlign w:val="center"/>
          </w:tcPr>
          <w:p w14:paraId="2FDF4FE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42000</w:t>
            </w:r>
          </w:p>
        </w:tc>
        <w:tc>
          <w:tcPr>
            <w:tcW w:w="425" w:type="pct"/>
            <w:tcBorders>
              <w:tl2br w:val="nil"/>
              <w:tr2bl w:val="nil"/>
            </w:tcBorders>
            <w:shd w:val="clear" w:color="auto" w:fill="auto"/>
            <w:noWrap/>
            <w:vAlign w:val="center"/>
          </w:tcPr>
          <w:p w14:paraId="5CC5833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138600</w:t>
            </w:r>
          </w:p>
        </w:tc>
        <w:tc>
          <w:tcPr>
            <w:tcW w:w="380" w:type="pct"/>
            <w:tcBorders>
              <w:tl2br w:val="nil"/>
              <w:tr2bl w:val="nil"/>
            </w:tcBorders>
            <w:shd w:val="clear" w:color="auto" w:fill="auto"/>
            <w:noWrap/>
            <w:vAlign w:val="center"/>
          </w:tcPr>
          <w:p w14:paraId="354A13B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37410</w:t>
            </w:r>
          </w:p>
        </w:tc>
        <w:tc>
          <w:tcPr>
            <w:tcW w:w="515" w:type="pct"/>
            <w:tcBorders>
              <w:tl2br w:val="nil"/>
              <w:tr2bl w:val="nil"/>
            </w:tcBorders>
            <w:shd w:val="clear" w:color="auto" w:fill="auto"/>
            <w:noWrap/>
            <w:vAlign w:val="center"/>
          </w:tcPr>
          <w:p w14:paraId="2ACE814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123453</w:t>
            </w:r>
          </w:p>
        </w:tc>
        <w:tc>
          <w:tcPr>
            <w:tcW w:w="380" w:type="pct"/>
            <w:tcBorders>
              <w:tl2br w:val="nil"/>
              <w:tr2bl w:val="nil"/>
            </w:tcBorders>
            <w:shd w:val="clear" w:color="auto" w:fill="auto"/>
            <w:noWrap/>
            <w:vAlign w:val="center"/>
          </w:tcPr>
          <w:p w14:paraId="0DA041B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45500</w:t>
            </w:r>
          </w:p>
        </w:tc>
        <w:tc>
          <w:tcPr>
            <w:tcW w:w="515" w:type="pct"/>
            <w:tcBorders>
              <w:tl2br w:val="nil"/>
              <w:tr2bl w:val="nil"/>
            </w:tcBorders>
            <w:shd w:val="clear" w:color="auto" w:fill="auto"/>
            <w:noWrap/>
            <w:vAlign w:val="center"/>
          </w:tcPr>
          <w:p w14:paraId="4B66301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150150</w:t>
            </w:r>
          </w:p>
        </w:tc>
        <w:tc>
          <w:tcPr>
            <w:tcW w:w="380" w:type="pct"/>
            <w:tcBorders>
              <w:tl2br w:val="nil"/>
              <w:tr2bl w:val="nil"/>
            </w:tcBorders>
            <w:shd w:val="clear" w:color="auto" w:fill="auto"/>
            <w:noWrap/>
            <w:vAlign w:val="center"/>
          </w:tcPr>
          <w:p w14:paraId="296B3A9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37540</w:t>
            </w:r>
          </w:p>
        </w:tc>
        <w:tc>
          <w:tcPr>
            <w:tcW w:w="425" w:type="pct"/>
            <w:tcBorders>
              <w:tl2br w:val="nil"/>
              <w:tr2bl w:val="nil"/>
            </w:tcBorders>
            <w:shd w:val="clear" w:color="auto" w:fill="auto"/>
            <w:noWrap/>
            <w:vAlign w:val="center"/>
          </w:tcPr>
          <w:p w14:paraId="7FC4622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123882</w:t>
            </w:r>
          </w:p>
        </w:tc>
        <w:tc>
          <w:tcPr>
            <w:tcW w:w="581" w:type="pct"/>
            <w:tcBorders>
              <w:tl2br w:val="nil"/>
              <w:tr2bl w:val="nil"/>
            </w:tcBorders>
            <w:shd w:val="clear" w:color="auto" w:fill="auto"/>
            <w:noWrap/>
            <w:vAlign w:val="center"/>
          </w:tcPr>
          <w:p w14:paraId="6BC72F4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34680</w:t>
            </w:r>
          </w:p>
        </w:tc>
        <w:tc>
          <w:tcPr>
            <w:tcW w:w="472" w:type="pct"/>
            <w:tcBorders>
              <w:tl2br w:val="nil"/>
              <w:tr2bl w:val="nil"/>
            </w:tcBorders>
            <w:shd w:val="clear" w:color="auto" w:fill="auto"/>
            <w:noWrap/>
            <w:vAlign w:val="center"/>
          </w:tcPr>
          <w:p w14:paraId="7CB6248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114444</w:t>
            </w:r>
          </w:p>
        </w:tc>
      </w:tr>
      <w:tr w14:paraId="5291F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1D6A7E55">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5月</w:t>
            </w:r>
          </w:p>
        </w:tc>
        <w:tc>
          <w:tcPr>
            <w:tcW w:w="380" w:type="pct"/>
            <w:tcBorders>
              <w:tl2br w:val="nil"/>
              <w:tr2bl w:val="nil"/>
            </w:tcBorders>
            <w:shd w:val="clear" w:color="auto" w:fill="auto"/>
            <w:noWrap/>
            <w:vAlign w:val="center"/>
          </w:tcPr>
          <w:p w14:paraId="642FCEA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43000</w:t>
            </w:r>
          </w:p>
        </w:tc>
        <w:tc>
          <w:tcPr>
            <w:tcW w:w="425" w:type="pct"/>
            <w:tcBorders>
              <w:tl2br w:val="nil"/>
              <w:tr2bl w:val="nil"/>
            </w:tcBorders>
            <w:shd w:val="clear" w:color="auto" w:fill="auto"/>
            <w:noWrap/>
            <w:vAlign w:val="center"/>
          </w:tcPr>
          <w:p w14:paraId="0523A9B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141900</w:t>
            </w:r>
          </w:p>
        </w:tc>
        <w:tc>
          <w:tcPr>
            <w:tcW w:w="380" w:type="pct"/>
            <w:tcBorders>
              <w:tl2br w:val="nil"/>
              <w:tr2bl w:val="nil"/>
            </w:tcBorders>
            <w:shd w:val="clear" w:color="auto" w:fill="auto"/>
            <w:noWrap/>
            <w:vAlign w:val="center"/>
          </w:tcPr>
          <w:p w14:paraId="3F1A83F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41000</w:t>
            </w:r>
          </w:p>
        </w:tc>
        <w:tc>
          <w:tcPr>
            <w:tcW w:w="515" w:type="pct"/>
            <w:tcBorders>
              <w:tl2br w:val="nil"/>
              <w:tr2bl w:val="nil"/>
            </w:tcBorders>
            <w:shd w:val="clear" w:color="auto" w:fill="auto"/>
            <w:noWrap/>
            <w:vAlign w:val="center"/>
          </w:tcPr>
          <w:p w14:paraId="528B7C4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135300</w:t>
            </w:r>
          </w:p>
        </w:tc>
        <w:tc>
          <w:tcPr>
            <w:tcW w:w="380" w:type="pct"/>
            <w:tcBorders>
              <w:tl2br w:val="nil"/>
              <w:tr2bl w:val="nil"/>
            </w:tcBorders>
            <w:shd w:val="clear" w:color="auto" w:fill="auto"/>
            <w:noWrap/>
            <w:vAlign w:val="center"/>
          </w:tcPr>
          <w:p w14:paraId="2D4BD7C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42211</w:t>
            </w:r>
          </w:p>
        </w:tc>
        <w:tc>
          <w:tcPr>
            <w:tcW w:w="515" w:type="pct"/>
            <w:tcBorders>
              <w:tl2br w:val="nil"/>
              <w:tr2bl w:val="nil"/>
            </w:tcBorders>
            <w:shd w:val="clear" w:color="auto" w:fill="auto"/>
            <w:noWrap/>
            <w:vAlign w:val="center"/>
          </w:tcPr>
          <w:p w14:paraId="55C0C30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139296.3</w:t>
            </w:r>
          </w:p>
        </w:tc>
        <w:tc>
          <w:tcPr>
            <w:tcW w:w="380" w:type="pct"/>
            <w:tcBorders>
              <w:tl2br w:val="nil"/>
              <w:tr2bl w:val="nil"/>
            </w:tcBorders>
            <w:shd w:val="clear" w:color="auto" w:fill="auto"/>
            <w:noWrap/>
            <w:vAlign w:val="center"/>
          </w:tcPr>
          <w:p w14:paraId="1A9DAB1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37560</w:t>
            </w:r>
          </w:p>
        </w:tc>
        <w:tc>
          <w:tcPr>
            <w:tcW w:w="425" w:type="pct"/>
            <w:tcBorders>
              <w:tl2br w:val="nil"/>
              <w:tr2bl w:val="nil"/>
            </w:tcBorders>
            <w:shd w:val="clear" w:color="auto" w:fill="auto"/>
            <w:noWrap/>
            <w:vAlign w:val="center"/>
          </w:tcPr>
          <w:p w14:paraId="30C6441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123948</w:t>
            </w:r>
          </w:p>
        </w:tc>
        <w:tc>
          <w:tcPr>
            <w:tcW w:w="581" w:type="pct"/>
            <w:tcBorders>
              <w:tl2br w:val="nil"/>
              <w:tr2bl w:val="nil"/>
            </w:tcBorders>
            <w:shd w:val="clear" w:color="auto" w:fill="auto"/>
            <w:noWrap/>
            <w:vAlign w:val="center"/>
          </w:tcPr>
          <w:p w14:paraId="7BF5213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39330</w:t>
            </w:r>
          </w:p>
        </w:tc>
        <w:tc>
          <w:tcPr>
            <w:tcW w:w="472" w:type="pct"/>
            <w:tcBorders>
              <w:tl2br w:val="nil"/>
              <w:tr2bl w:val="nil"/>
            </w:tcBorders>
            <w:shd w:val="clear" w:color="auto" w:fill="auto"/>
            <w:noWrap/>
            <w:vAlign w:val="center"/>
          </w:tcPr>
          <w:p w14:paraId="10548F1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129789</w:t>
            </w:r>
          </w:p>
        </w:tc>
      </w:tr>
      <w:tr w14:paraId="62555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3946D3F4">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6月</w:t>
            </w:r>
          </w:p>
        </w:tc>
        <w:tc>
          <w:tcPr>
            <w:tcW w:w="380" w:type="pct"/>
            <w:tcBorders>
              <w:tl2br w:val="nil"/>
              <w:tr2bl w:val="nil"/>
            </w:tcBorders>
            <w:shd w:val="clear" w:color="auto" w:fill="auto"/>
            <w:noWrap/>
            <w:vAlign w:val="center"/>
          </w:tcPr>
          <w:p w14:paraId="17D45D8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41000</w:t>
            </w:r>
          </w:p>
        </w:tc>
        <w:tc>
          <w:tcPr>
            <w:tcW w:w="425" w:type="pct"/>
            <w:tcBorders>
              <w:tl2br w:val="nil"/>
              <w:tr2bl w:val="nil"/>
            </w:tcBorders>
            <w:shd w:val="clear" w:color="auto" w:fill="auto"/>
            <w:noWrap/>
            <w:vAlign w:val="center"/>
          </w:tcPr>
          <w:p w14:paraId="6E5368B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135300</w:t>
            </w:r>
          </w:p>
        </w:tc>
        <w:tc>
          <w:tcPr>
            <w:tcW w:w="380" w:type="pct"/>
            <w:tcBorders>
              <w:tl2br w:val="nil"/>
              <w:tr2bl w:val="nil"/>
            </w:tcBorders>
            <w:shd w:val="clear" w:color="auto" w:fill="auto"/>
            <w:noWrap/>
            <w:vAlign w:val="center"/>
          </w:tcPr>
          <w:p w14:paraId="3B2F4EC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35600</w:t>
            </w:r>
          </w:p>
        </w:tc>
        <w:tc>
          <w:tcPr>
            <w:tcW w:w="515" w:type="pct"/>
            <w:tcBorders>
              <w:tl2br w:val="nil"/>
              <w:tr2bl w:val="nil"/>
            </w:tcBorders>
            <w:shd w:val="clear" w:color="auto" w:fill="auto"/>
            <w:noWrap/>
            <w:vAlign w:val="center"/>
          </w:tcPr>
          <w:p w14:paraId="36D7005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117480</w:t>
            </w:r>
          </w:p>
        </w:tc>
        <w:tc>
          <w:tcPr>
            <w:tcW w:w="380" w:type="pct"/>
            <w:tcBorders>
              <w:tl2br w:val="nil"/>
              <w:tr2bl w:val="nil"/>
            </w:tcBorders>
            <w:shd w:val="clear" w:color="auto" w:fill="auto"/>
            <w:noWrap/>
            <w:vAlign w:val="center"/>
          </w:tcPr>
          <w:p w14:paraId="36F4509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31691</w:t>
            </w:r>
          </w:p>
        </w:tc>
        <w:tc>
          <w:tcPr>
            <w:tcW w:w="515" w:type="pct"/>
            <w:tcBorders>
              <w:tl2br w:val="nil"/>
              <w:tr2bl w:val="nil"/>
            </w:tcBorders>
            <w:shd w:val="clear" w:color="auto" w:fill="auto"/>
            <w:noWrap/>
            <w:vAlign w:val="center"/>
          </w:tcPr>
          <w:p w14:paraId="02B4824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104580.3</w:t>
            </w:r>
          </w:p>
        </w:tc>
        <w:tc>
          <w:tcPr>
            <w:tcW w:w="380" w:type="pct"/>
            <w:tcBorders>
              <w:tl2br w:val="nil"/>
              <w:tr2bl w:val="nil"/>
            </w:tcBorders>
            <w:shd w:val="clear" w:color="auto" w:fill="auto"/>
            <w:noWrap/>
            <w:vAlign w:val="center"/>
          </w:tcPr>
          <w:p w14:paraId="2126CC8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37265</w:t>
            </w:r>
          </w:p>
        </w:tc>
        <w:tc>
          <w:tcPr>
            <w:tcW w:w="425" w:type="pct"/>
            <w:tcBorders>
              <w:tl2br w:val="nil"/>
              <w:tr2bl w:val="nil"/>
            </w:tcBorders>
            <w:shd w:val="clear" w:color="auto" w:fill="auto"/>
            <w:noWrap/>
            <w:vAlign w:val="center"/>
          </w:tcPr>
          <w:p w14:paraId="10BCBAB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122975</w:t>
            </w:r>
          </w:p>
        </w:tc>
        <w:tc>
          <w:tcPr>
            <w:tcW w:w="581" w:type="pct"/>
            <w:tcBorders>
              <w:tl2br w:val="nil"/>
              <w:tr2bl w:val="nil"/>
            </w:tcBorders>
            <w:shd w:val="clear" w:color="auto" w:fill="auto"/>
            <w:noWrap/>
            <w:vAlign w:val="center"/>
          </w:tcPr>
          <w:p w14:paraId="490B5FA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33700</w:t>
            </w:r>
          </w:p>
        </w:tc>
        <w:tc>
          <w:tcPr>
            <w:tcW w:w="472" w:type="pct"/>
            <w:tcBorders>
              <w:tl2br w:val="nil"/>
              <w:tr2bl w:val="nil"/>
            </w:tcBorders>
            <w:shd w:val="clear" w:color="auto" w:fill="auto"/>
            <w:noWrap/>
            <w:vAlign w:val="center"/>
          </w:tcPr>
          <w:p w14:paraId="2D944B6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111210</w:t>
            </w:r>
          </w:p>
        </w:tc>
      </w:tr>
      <w:tr w14:paraId="17D1D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132E9A1D">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7月</w:t>
            </w:r>
          </w:p>
        </w:tc>
        <w:tc>
          <w:tcPr>
            <w:tcW w:w="380" w:type="pct"/>
            <w:tcBorders>
              <w:tl2br w:val="nil"/>
              <w:tr2bl w:val="nil"/>
            </w:tcBorders>
            <w:shd w:val="clear" w:color="auto" w:fill="auto"/>
            <w:noWrap/>
            <w:vAlign w:val="center"/>
          </w:tcPr>
          <w:p w14:paraId="229E3A0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32000</w:t>
            </w:r>
          </w:p>
        </w:tc>
        <w:tc>
          <w:tcPr>
            <w:tcW w:w="425" w:type="pct"/>
            <w:tcBorders>
              <w:tl2br w:val="nil"/>
              <w:tr2bl w:val="nil"/>
            </w:tcBorders>
            <w:shd w:val="clear" w:color="auto" w:fill="auto"/>
            <w:noWrap/>
            <w:vAlign w:val="center"/>
          </w:tcPr>
          <w:p w14:paraId="35888A8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105600</w:t>
            </w:r>
          </w:p>
        </w:tc>
        <w:tc>
          <w:tcPr>
            <w:tcW w:w="380" w:type="pct"/>
            <w:tcBorders>
              <w:tl2br w:val="nil"/>
              <w:tr2bl w:val="nil"/>
            </w:tcBorders>
            <w:shd w:val="clear" w:color="auto" w:fill="auto"/>
            <w:noWrap/>
            <w:vAlign w:val="center"/>
          </w:tcPr>
          <w:p w14:paraId="5042D63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39500</w:t>
            </w:r>
          </w:p>
        </w:tc>
        <w:tc>
          <w:tcPr>
            <w:tcW w:w="515" w:type="pct"/>
            <w:tcBorders>
              <w:tl2br w:val="nil"/>
              <w:tr2bl w:val="nil"/>
            </w:tcBorders>
            <w:shd w:val="clear" w:color="auto" w:fill="auto"/>
            <w:noWrap/>
            <w:vAlign w:val="center"/>
          </w:tcPr>
          <w:p w14:paraId="19A25C2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130350</w:t>
            </w:r>
          </w:p>
        </w:tc>
        <w:tc>
          <w:tcPr>
            <w:tcW w:w="380" w:type="pct"/>
            <w:tcBorders>
              <w:tl2br w:val="nil"/>
              <w:tr2bl w:val="nil"/>
            </w:tcBorders>
            <w:shd w:val="clear" w:color="auto" w:fill="auto"/>
            <w:noWrap/>
            <w:vAlign w:val="center"/>
          </w:tcPr>
          <w:p w14:paraId="0A07C7A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33600</w:t>
            </w:r>
          </w:p>
        </w:tc>
        <w:tc>
          <w:tcPr>
            <w:tcW w:w="515" w:type="pct"/>
            <w:tcBorders>
              <w:tl2br w:val="nil"/>
              <w:tr2bl w:val="nil"/>
            </w:tcBorders>
            <w:shd w:val="clear" w:color="auto" w:fill="auto"/>
            <w:noWrap/>
            <w:vAlign w:val="center"/>
          </w:tcPr>
          <w:p w14:paraId="6A2DDEF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110880</w:t>
            </w:r>
          </w:p>
        </w:tc>
        <w:tc>
          <w:tcPr>
            <w:tcW w:w="380" w:type="pct"/>
            <w:tcBorders>
              <w:tl2br w:val="nil"/>
              <w:tr2bl w:val="nil"/>
            </w:tcBorders>
            <w:shd w:val="clear" w:color="auto" w:fill="auto"/>
            <w:noWrap/>
            <w:vAlign w:val="center"/>
          </w:tcPr>
          <w:p w14:paraId="2F4F6F6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35808</w:t>
            </w:r>
          </w:p>
        </w:tc>
        <w:tc>
          <w:tcPr>
            <w:tcW w:w="425" w:type="pct"/>
            <w:tcBorders>
              <w:tl2br w:val="nil"/>
              <w:tr2bl w:val="nil"/>
            </w:tcBorders>
            <w:shd w:val="clear" w:color="auto" w:fill="auto"/>
            <w:noWrap/>
            <w:vAlign w:val="center"/>
          </w:tcPr>
          <w:p w14:paraId="1015BC2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118166</w:t>
            </w:r>
          </w:p>
        </w:tc>
        <w:tc>
          <w:tcPr>
            <w:tcW w:w="581" w:type="pct"/>
            <w:tcBorders>
              <w:tl2br w:val="nil"/>
              <w:tr2bl w:val="nil"/>
            </w:tcBorders>
            <w:shd w:val="clear" w:color="auto" w:fill="auto"/>
            <w:noWrap/>
            <w:vAlign w:val="center"/>
          </w:tcPr>
          <w:p w14:paraId="3DDA3D1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35134</w:t>
            </w:r>
          </w:p>
        </w:tc>
        <w:tc>
          <w:tcPr>
            <w:tcW w:w="472" w:type="pct"/>
            <w:tcBorders>
              <w:tl2br w:val="nil"/>
              <w:tr2bl w:val="nil"/>
            </w:tcBorders>
            <w:shd w:val="clear" w:color="auto" w:fill="auto"/>
            <w:noWrap/>
            <w:vAlign w:val="center"/>
          </w:tcPr>
          <w:p w14:paraId="5A9424D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115942</w:t>
            </w:r>
          </w:p>
        </w:tc>
      </w:tr>
      <w:tr w14:paraId="23D81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19AA34B2">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8月</w:t>
            </w:r>
          </w:p>
        </w:tc>
        <w:tc>
          <w:tcPr>
            <w:tcW w:w="380" w:type="pct"/>
            <w:tcBorders>
              <w:tl2br w:val="nil"/>
              <w:tr2bl w:val="nil"/>
            </w:tcBorders>
            <w:shd w:val="clear" w:color="auto" w:fill="auto"/>
            <w:noWrap/>
            <w:vAlign w:val="center"/>
          </w:tcPr>
          <w:p w14:paraId="6677173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45000</w:t>
            </w:r>
          </w:p>
        </w:tc>
        <w:tc>
          <w:tcPr>
            <w:tcW w:w="425" w:type="pct"/>
            <w:tcBorders>
              <w:tl2br w:val="nil"/>
              <w:tr2bl w:val="nil"/>
            </w:tcBorders>
            <w:shd w:val="clear" w:color="auto" w:fill="auto"/>
            <w:noWrap/>
            <w:vAlign w:val="center"/>
          </w:tcPr>
          <w:p w14:paraId="0121AFC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148500</w:t>
            </w:r>
          </w:p>
        </w:tc>
        <w:tc>
          <w:tcPr>
            <w:tcW w:w="380" w:type="pct"/>
            <w:tcBorders>
              <w:tl2br w:val="nil"/>
              <w:tr2bl w:val="nil"/>
            </w:tcBorders>
            <w:shd w:val="clear" w:color="auto" w:fill="auto"/>
            <w:noWrap/>
            <w:vAlign w:val="center"/>
          </w:tcPr>
          <w:p w14:paraId="36E88AD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42000</w:t>
            </w:r>
          </w:p>
        </w:tc>
        <w:tc>
          <w:tcPr>
            <w:tcW w:w="515" w:type="pct"/>
            <w:tcBorders>
              <w:tl2br w:val="nil"/>
              <w:tr2bl w:val="nil"/>
            </w:tcBorders>
            <w:shd w:val="clear" w:color="auto" w:fill="auto"/>
            <w:noWrap/>
            <w:vAlign w:val="center"/>
          </w:tcPr>
          <w:p w14:paraId="4682744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138600</w:t>
            </w:r>
          </w:p>
        </w:tc>
        <w:tc>
          <w:tcPr>
            <w:tcW w:w="380" w:type="pct"/>
            <w:tcBorders>
              <w:tl2br w:val="nil"/>
              <w:tr2bl w:val="nil"/>
            </w:tcBorders>
            <w:shd w:val="clear" w:color="auto" w:fill="auto"/>
            <w:noWrap/>
            <w:vAlign w:val="center"/>
          </w:tcPr>
          <w:p w14:paraId="1AA7EBC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33360</w:t>
            </w:r>
          </w:p>
        </w:tc>
        <w:tc>
          <w:tcPr>
            <w:tcW w:w="515" w:type="pct"/>
            <w:tcBorders>
              <w:tl2br w:val="nil"/>
              <w:tr2bl w:val="nil"/>
            </w:tcBorders>
            <w:shd w:val="clear" w:color="auto" w:fill="auto"/>
            <w:noWrap/>
            <w:vAlign w:val="center"/>
          </w:tcPr>
          <w:p w14:paraId="4104308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110088</w:t>
            </w:r>
          </w:p>
        </w:tc>
        <w:tc>
          <w:tcPr>
            <w:tcW w:w="380" w:type="pct"/>
            <w:tcBorders>
              <w:tl2br w:val="nil"/>
              <w:tr2bl w:val="nil"/>
            </w:tcBorders>
            <w:shd w:val="clear" w:color="auto" w:fill="auto"/>
            <w:noWrap/>
            <w:vAlign w:val="center"/>
          </w:tcPr>
          <w:p w14:paraId="6110A04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45630</w:t>
            </w:r>
          </w:p>
        </w:tc>
        <w:tc>
          <w:tcPr>
            <w:tcW w:w="425" w:type="pct"/>
            <w:tcBorders>
              <w:tl2br w:val="nil"/>
              <w:tr2bl w:val="nil"/>
            </w:tcBorders>
            <w:shd w:val="clear" w:color="auto" w:fill="auto"/>
            <w:noWrap/>
            <w:vAlign w:val="center"/>
          </w:tcPr>
          <w:p w14:paraId="17CA56B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150579</w:t>
            </w:r>
          </w:p>
        </w:tc>
        <w:tc>
          <w:tcPr>
            <w:tcW w:w="581" w:type="pct"/>
            <w:tcBorders>
              <w:tl2br w:val="nil"/>
              <w:tr2bl w:val="nil"/>
            </w:tcBorders>
            <w:shd w:val="clear" w:color="auto" w:fill="auto"/>
            <w:noWrap/>
            <w:vAlign w:val="center"/>
          </w:tcPr>
          <w:p w14:paraId="2D89C80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35387</w:t>
            </w:r>
          </w:p>
        </w:tc>
        <w:tc>
          <w:tcPr>
            <w:tcW w:w="472" w:type="pct"/>
            <w:tcBorders>
              <w:tl2br w:val="nil"/>
              <w:tr2bl w:val="nil"/>
            </w:tcBorders>
            <w:shd w:val="clear" w:color="auto" w:fill="auto"/>
            <w:noWrap/>
            <w:vAlign w:val="center"/>
          </w:tcPr>
          <w:p w14:paraId="2BF03B7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116777</w:t>
            </w:r>
          </w:p>
        </w:tc>
      </w:tr>
      <w:tr w14:paraId="63EAA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56631F8F">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9月</w:t>
            </w:r>
          </w:p>
        </w:tc>
        <w:tc>
          <w:tcPr>
            <w:tcW w:w="380" w:type="pct"/>
            <w:tcBorders>
              <w:tl2br w:val="nil"/>
              <w:tr2bl w:val="nil"/>
            </w:tcBorders>
            <w:shd w:val="clear" w:color="auto" w:fill="auto"/>
            <w:noWrap/>
            <w:vAlign w:val="center"/>
          </w:tcPr>
          <w:p w14:paraId="646BADE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41000</w:t>
            </w:r>
          </w:p>
        </w:tc>
        <w:tc>
          <w:tcPr>
            <w:tcW w:w="425" w:type="pct"/>
            <w:tcBorders>
              <w:tl2br w:val="nil"/>
              <w:tr2bl w:val="nil"/>
            </w:tcBorders>
            <w:shd w:val="clear" w:color="auto" w:fill="auto"/>
            <w:noWrap/>
            <w:vAlign w:val="center"/>
          </w:tcPr>
          <w:p w14:paraId="247C0FB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135300</w:t>
            </w:r>
          </w:p>
        </w:tc>
        <w:tc>
          <w:tcPr>
            <w:tcW w:w="380" w:type="pct"/>
            <w:tcBorders>
              <w:tl2br w:val="nil"/>
              <w:tr2bl w:val="nil"/>
            </w:tcBorders>
            <w:shd w:val="clear" w:color="auto" w:fill="auto"/>
            <w:noWrap/>
            <w:vAlign w:val="center"/>
          </w:tcPr>
          <w:p w14:paraId="56150E2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41000</w:t>
            </w:r>
          </w:p>
        </w:tc>
        <w:tc>
          <w:tcPr>
            <w:tcW w:w="515" w:type="pct"/>
            <w:tcBorders>
              <w:tl2br w:val="nil"/>
              <w:tr2bl w:val="nil"/>
            </w:tcBorders>
            <w:shd w:val="clear" w:color="auto" w:fill="auto"/>
            <w:noWrap/>
            <w:vAlign w:val="center"/>
          </w:tcPr>
          <w:p w14:paraId="6C7CB35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135300</w:t>
            </w:r>
          </w:p>
        </w:tc>
        <w:tc>
          <w:tcPr>
            <w:tcW w:w="380" w:type="pct"/>
            <w:tcBorders>
              <w:tl2br w:val="nil"/>
              <w:tr2bl w:val="nil"/>
            </w:tcBorders>
            <w:shd w:val="clear" w:color="auto" w:fill="auto"/>
            <w:noWrap/>
            <w:vAlign w:val="center"/>
          </w:tcPr>
          <w:p w14:paraId="3DCFA22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47110</w:t>
            </w:r>
          </w:p>
        </w:tc>
        <w:tc>
          <w:tcPr>
            <w:tcW w:w="515" w:type="pct"/>
            <w:tcBorders>
              <w:tl2br w:val="nil"/>
              <w:tr2bl w:val="nil"/>
            </w:tcBorders>
            <w:shd w:val="clear" w:color="auto" w:fill="auto"/>
            <w:noWrap/>
            <w:vAlign w:val="center"/>
          </w:tcPr>
          <w:p w14:paraId="4A4C2BB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155463</w:t>
            </w:r>
          </w:p>
        </w:tc>
        <w:tc>
          <w:tcPr>
            <w:tcW w:w="380" w:type="pct"/>
            <w:tcBorders>
              <w:tl2br w:val="nil"/>
              <w:tr2bl w:val="nil"/>
            </w:tcBorders>
            <w:shd w:val="clear" w:color="auto" w:fill="auto"/>
            <w:noWrap/>
            <w:vAlign w:val="center"/>
          </w:tcPr>
          <w:p w14:paraId="0585137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39950</w:t>
            </w:r>
          </w:p>
        </w:tc>
        <w:tc>
          <w:tcPr>
            <w:tcW w:w="425" w:type="pct"/>
            <w:tcBorders>
              <w:tl2br w:val="nil"/>
              <w:tr2bl w:val="nil"/>
            </w:tcBorders>
            <w:shd w:val="clear" w:color="auto" w:fill="auto"/>
            <w:noWrap/>
            <w:vAlign w:val="center"/>
          </w:tcPr>
          <w:p w14:paraId="799D80C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131835</w:t>
            </w:r>
          </w:p>
        </w:tc>
        <w:tc>
          <w:tcPr>
            <w:tcW w:w="581" w:type="pct"/>
            <w:tcBorders>
              <w:tl2br w:val="nil"/>
              <w:tr2bl w:val="nil"/>
            </w:tcBorders>
            <w:shd w:val="clear" w:color="auto" w:fill="auto"/>
            <w:noWrap/>
            <w:vAlign w:val="center"/>
          </w:tcPr>
          <w:p w14:paraId="72B3BE9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24800</w:t>
            </w:r>
          </w:p>
        </w:tc>
        <w:tc>
          <w:tcPr>
            <w:tcW w:w="472" w:type="pct"/>
            <w:tcBorders>
              <w:tl2br w:val="nil"/>
              <w:tr2bl w:val="nil"/>
            </w:tcBorders>
            <w:shd w:val="clear" w:color="auto" w:fill="auto"/>
            <w:noWrap/>
            <w:vAlign w:val="center"/>
          </w:tcPr>
          <w:p w14:paraId="1ED0971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81840</w:t>
            </w:r>
          </w:p>
        </w:tc>
      </w:tr>
      <w:tr w14:paraId="54F00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56AAF3C8">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10月</w:t>
            </w:r>
          </w:p>
        </w:tc>
        <w:tc>
          <w:tcPr>
            <w:tcW w:w="380" w:type="pct"/>
            <w:tcBorders>
              <w:tl2br w:val="nil"/>
              <w:tr2bl w:val="nil"/>
            </w:tcBorders>
            <w:shd w:val="clear" w:color="auto" w:fill="auto"/>
            <w:noWrap/>
            <w:vAlign w:val="center"/>
          </w:tcPr>
          <w:p w14:paraId="49B2D39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45000</w:t>
            </w:r>
          </w:p>
        </w:tc>
        <w:tc>
          <w:tcPr>
            <w:tcW w:w="425" w:type="pct"/>
            <w:tcBorders>
              <w:tl2br w:val="nil"/>
              <w:tr2bl w:val="nil"/>
            </w:tcBorders>
            <w:shd w:val="clear" w:color="auto" w:fill="auto"/>
            <w:noWrap/>
            <w:vAlign w:val="center"/>
          </w:tcPr>
          <w:p w14:paraId="15F77D4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148500</w:t>
            </w:r>
          </w:p>
        </w:tc>
        <w:tc>
          <w:tcPr>
            <w:tcW w:w="380" w:type="pct"/>
            <w:tcBorders>
              <w:tl2br w:val="nil"/>
              <w:tr2bl w:val="nil"/>
            </w:tcBorders>
            <w:shd w:val="clear" w:color="auto" w:fill="auto"/>
            <w:noWrap/>
            <w:vAlign w:val="center"/>
          </w:tcPr>
          <w:p w14:paraId="5B74E9D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35000</w:t>
            </w:r>
          </w:p>
        </w:tc>
        <w:tc>
          <w:tcPr>
            <w:tcW w:w="515" w:type="pct"/>
            <w:tcBorders>
              <w:tl2br w:val="nil"/>
              <w:tr2bl w:val="nil"/>
            </w:tcBorders>
            <w:shd w:val="clear" w:color="auto" w:fill="auto"/>
            <w:noWrap/>
            <w:vAlign w:val="center"/>
          </w:tcPr>
          <w:p w14:paraId="6187CAA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115500</w:t>
            </w:r>
          </w:p>
        </w:tc>
        <w:tc>
          <w:tcPr>
            <w:tcW w:w="380" w:type="pct"/>
            <w:tcBorders>
              <w:tl2br w:val="nil"/>
              <w:tr2bl w:val="nil"/>
            </w:tcBorders>
            <w:shd w:val="clear" w:color="auto" w:fill="auto"/>
            <w:noWrap/>
            <w:vAlign w:val="center"/>
          </w:tcPr>
          <w:p w14:paraId="5A6D11F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30980</w:t>
            </w:r>
          </w:p>
        </w:tc>
        <w:tc>
          <w:tcPr>
            <w:tcW w:w="515" w:type="pct"/>
            <w:tcBorders>
              <w:tl2br w:val="nil"/>
              <w:tr2bl w:val="nil"/>
            </w:tcBorders>
            <w:shd w:val="clear" w:color="auto" w:fill="auto"/>
            <w:noWrap/>
            <w:vAlign w:val="center"/>
          </w:tcPr>
          <w:p w14:paraId="025C5A8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102234</w:t>
            </w:r>
          </w:p>
        </w:tc>
        <w:tc>
          <w:tcPr>
            <w:tcW w:w="380" w:type="pct"/>
            <w:tcBorders>
              <w:tl2br w:val="nil"/>
              <w:tr2bl w:val="nil"/>
            </w:tcBorders>
            <w:shd w:val="clear" w:color="auto" w:fill="auto"/>
            <w:noWrap/>
            <w:vAlign w:val="center"/>
          </w:tcPr>
          <w:p w14:paraId="57E2CFC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35530</w:t>
            </w:r>
          </w:p>
        </w:tc>
        <w:tc>
          <w:tcPr>
            <w:tcW w:w="425" w:type="pct"/>
            <w:tcBorders>
              <w:tl2br w:val="nil"/>
              <w:tr2bl w:val="nil"/>
            </w:tcBorders>
            <w:shd w:val="clear" w:color="auto" w:fill="auto"/>
            <w:noWrap/>
            <w:vAlign w:val="center"/>
          </w:tcPr>
          <w:p w14:paraId="3A723A4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117249</w:t>
            </w:r>
          </w:p>
        </w:tc>
        <w:tc>
          <w:tcPr>
            <w:tcW w:w="581" w:type="pct"/>
            <w:tcBorders>
              <w:tl2br w:val="nil"/>
              <w:tr2bl w:val="nil"/>
            </w:tcBorders>
            <w:shd w:val="clear" w:color="auto" w:fill="auto"/>
            <w:noWrap/>
            <w:vAlign w:val="center"/>
          </w:tcPr>
          <w:p w14:paraId="24907BA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24050</w:t>
            </w:r>
          </w:p>
        </w:tc>
        <w:tc>
          <w:tcPr>
            <w:tcW w:w="472" w:type="pct"/>
            <w:tcBorders>
              <w:tl2br w:val="nil"/>
              <w:tr2bl w:val="nil"/>
            </w:tcBorders>
            <w:shd w:val="clear" w:color="auto" w:fill="auto"/>
            <w:noWrap/>
            <w:vAlign w:val="center"/>
          </w:tcPr>
          <w:p w14:paraId="461B60C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79365</w:t>
            </w:r>
          </w:p>
        </w:tc>
      </w:tr>
      <w:tr w14:paraId="409CB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206A078B">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11月</w:t>
            </w:r>
          </w:p>
        </w:tc>
        <w:tc>
          <w:tcPr>
            <w:tcW w:w="380" w:type="pct"/>
            <w:tcBorders>
              <w:tl2br w:val="nil"/>
              <w:tr2bl w:val="nil"/>
            </w:tcBorders>
            <w:shd w:val="clear" w:color="auto" w:fill="auto"/>
            <w:noWrap/>
            <w:vAlign w:val="center"/>
          </w:tcPr>
          <w:p w14:paraId="3D469BC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35000</w:t>
            </w:r>
          </w:p>
        </w:tc>
        <w:tc>
          <w:tcPr>
            <w:tcW w:w="425" w:type="pct"/>
            <w:tcBorders>
              <w:tl2br w:val="nil"/>
              <w:tr2bl w:val="nil"/>
            </w:tcBorders>
            <w:shd w:val="clear" w:color="auto" w:fill="auto"/>
            <w:noWrap/>
            <w:vAlign w:val="center"/>
          </w:tcPr>
          <w:p w14:paraId="774C434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115500</w:t>
            </w:r>
          </w:p>
        </w:tc>
        <w:tc>
          <w:tcPr>
            <w:tcW w:w="380" w:type="pct"/>
            <w:tcBorders>
              <w:tl2br w:val="nil"/>
              <w:tr2bl w:val="nil"/>
            </w:tcBorders>
            <w:shd w:val="clear" w:color="auto" w:fill="auto"/>
            <w:noWrap/>
            <w:vAlign w:val="center"/>
          </w:tcPr>
          <w:p w14:paraId="5EDAA1F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37000</w:t>
            </w:r>
          </w:p>
        </w:tc>
        <w:tc>
          <w:tcPr>
            <w:tcW w:w="515" w:type="pct"/>
            <w:tcBorders>
              <w:tl2br w:val="nil"/>
              <w:tr2bl w:val="nil"/>
            </w:tcBorders>
            <w:shd w:val="clear" w:color="auto" w:fill="auto"/>
            <w:noWrap/>
            <w:vAlign w:val="center"/>
          </w:tcPr>
          <w:p w14:paraId="44F8D9D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122100</w:t>
            </w:r>
          </w:p>
        </w:tc>
        <w:tc>
          <w:tcPr>
            <w:tcW w:w="380" w:type="pct"/>
            <w:tcBorders>
              <w:tl2br w:val="nil"/>
              <w:tr2bl w:val="nil"/>
            </w:tcBorders>
            <w:shd w:val="clear" w:color="auto" w:fill="auto"/>
            <w:noWrap/>
            <w:vAlign w:val="center"/>
          </w:tcPr>
          <w:p w14:paraId="132C19F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35490</w:t>
            </w:r>
          </w:p>
        </w:tc>
        <w:tc>
          <w:tcPr>
            <w:tcW w:w="515" w:type="pct"/>
            <w:tcBorders>
              <w:tl2br w:val="nil"/>
              <w:tr2bl w:val="nil"/>
            </w:tcBorders>
            <w:shd w:val="clear" w:color="auto" w:fill="auto"/>
            <w:noWrap/>
            <w:vAlign w:val="center"/>
          </w:tcPr>
          <w:p w14:paraId="09216853">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117117</w:t>
            </w:r>
          </w:p>
        </w:tc>
        <w:tc>
          <w:tcPr>
            <w:tcW w:w="380" w:type="pct"/>
            <w:tcBorders>
              <w:tl2br w:val="nil"/>
              <w:tr2bl w:val="nil"/>
            </w:tcBorders>
            <w:shd w:val="clear" w:color="auto" w:fill="auto"/>
            <w:noWrap/>
            <w:vAlign w:val="center"/>
          </w:tcPr>
          <w:p w14:paraId="35B326F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33720</w:t>
            </w:r>
          </w:p>
        </w:tc>
        <w:tc>
          <w:tcPr>
            <w:tcW w:w="425" w:type="pct"/>
            <w:tcBorders>
              <w:tl2br w:val="nil"/>
              <w:tr2bl w:val="nil"/>
            </w:tcBorders>
            <w:shd w:val="clear" w:color="auto" w:fill="auto"/>
            <w:noWrap/>
            <w:vAlign w:val="center"/>
          </w:tcPr>
          <w:p w14:paraId="61B6973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111276</w:t>
            </w:r>
          </w:p>
        </w:tc>
        <w:tc>
          <w:tcPr>
            <w:tcW w:w="581" w:type="pct"/>
            <w:tcBorders>
              <w:tl2br w:val="nil"/>
              <w:tr2bl w:val="nil"/>
            </w:tcBorders>
            <w:shd w:val="clear" w:color="auto" w:fill="auto"/>
            <w:noWrap/>
            <w:vAlign w:val="center"/>
          </w:tcPr>
          <w:p w14:paraId="79ABF76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22580</w:t>
            </w:r>
          </w:p>
        </w:tc>
        <w:tc>
          <w:tcPr>
            <w:tcW w:w="472" w:type="pct"/>
            <w:tcBorders>
              <w:tl2br w:val="nil"/>
              <w:tr2bl w:val="nil"/>
            </w:tcBorders>
            <w:shd w:val="clear" w:color="auto" w:fill="auto"/>
            <w:noWrap/>
            <w:vAlign w:val="center"/>
          </w:tcPr>
          <w:p w14:paraId="6EB2D12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74514</w:t>
            </w:r>
          </w:p>
        </w:tc>
      </w:tr>
      <w:tr w14:paraId="1119A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noWrap/>
            <w:vAlign w:val="center"/>
          </w:tcPr>
          <w:p w14:paraId="2E03D05A">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12月</w:t>
            </w:r>
          </w:p>
        </w:tc>
        <w:tc>
          <w:tcPr>
            <w:tcW w:w="380" w:type="pct"/>
            <w:tcBorders>
              <w:tl2br w:val="nil"/>
              <w:tr2bl w:val="nil"/>
            </w:tcBorders>
            <w:shd w:val="clear" w:color="auto" w:fill="auto"/>
            <w:noWrap/>
            <w:vAlign w:val="center"/>
          </w:tcPr>
          <w:p w14:paraId="28119F0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29000</w:t>
            </w:r>
          </w:p>
        </w:tc>
        <w:tc>
          <w:tcPr>
            <w:tcW w:w="425" w:type="pct"/>
            <w:tcBorders>
              <w:tl2br w:val="nil"/>
              <w:tr2bl w:val="nil"/>
            </w:tcBorders>
            <w:shd w:val="clear" w:color="auto" w:fill="auto"/>
            <w:noWrap/>
            <w:vAlign w:val="center"/>
          </w:tcPr>
          <w:p w14:paraId="1EEF9E0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95700</w:t>
            </w:r>
          </w:p>
        </w:tc>
        <w:tc>
          <w:tcPr>
            <w:tcW w:w="380" w:type="pct"/>
            <w:tcBorders>
              <w:tl2br w:val="nil"/>
              <w:tr2bl w:val="nil"/>
            </w:tcBorders>
            <w:shd w:val="clear" w:color="auto" w:fill="auto"/>
            <w:noWrap/>
            <w:vAlign w:val="center"/>
          </w:tcPr>
          <w:p w14:paraId="7CD68D3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32000</w:t>
            </w:r>
          </w:p>
        </w:tc>
        <w:tc>
          <w:tcPr>
            <w:tcW w:w="515" w:type="pct"/>
            <w:tcBorders>
              <w:tl2br w:val="nil"/>
              <w:tr2bl w:val="nil"/>
            </w:tcBorders>
            <w:shd w:val="clear" w:color="auto" w:fill="auto"/>
            <w:noWrap/>
            <w:vAlign w:val="center"/>
          </w:tcPr>
          <w:p w14:paraId="445C8F6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105600</w:t>
            </w:r>
          </w:p>
        </w:tc>
        <w:tc>
          <w:tcPr>
            <w:tcW w:w="380" w:type="pct"/>
            <w:tcBorders>
              <w:tl2br w:val="nil"/>
              <w:tr2bl w:val="nil"/>
            </w:tcBorders>
            <w:shd w:val="clear" w:color="auto" w:fill="auto"/>
            <w:noWrap/>
            <w:vAlign w:val="center"/>
          </w:tcPr>
          <w:p w14:paraId="6F3AC84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31670</w:t>
            </w:r>
          </w:p>
        </w:tc>
        <w:tc>
          <w:tcPr>
            <w:tcW w:w="515" w:type="pct"/>
            <w:tcBorders>
              <w:tl2br w:val="nil"/>
              <w:tr2bl w:val="nil"/>
            </w:tcBorders>
            <w:shd w:val="clear" w:color="auto" w:fill="auto"/>
            <w:noWrap/>
            <w:vAlign w:val="center"/>
          </w:tcPr>
          <w:p w14:paraId="75C75CA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104511</w:t>
            </w:r>
          </w:p>
        </w:tc>
        <w:tc>
          <w:tcPr>
            <w:tcW w:w="380" w:type="pct"/>
            <w:tcBorders>
              <w:tl2br w:val="nil"/>
              <w:tr2bl w:val="nil"/>
            </w:tcBorders>
            <w:shd w:val="clear" w:color="auto" w:fill="auto"/>
            <w:noWrap/>
            <w:vAlign w:val="center"/>
          </w:tcPr>
          <w:p w14:paraId="681120A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32000</w:t>
            </w:r>
          </w:p>
        </w:tc>
        <w:tc>
          <w:tcPr>
            <w:tcW w:w="425" w:type="pct"/>
            <w:tcBorders>
              <w:tl2br w:val="nil"/>
              <w:tr2bl w:val="nil"/>
            </w:tcBorders>
            <w:shd w:val="clear" w:color="auto" w:fill="auto"/>
            <w:noWrap/>
            <w:vAlign w:val="center"/>
          </w:tcPr>
          <w:p w14:paraId="57B04C3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105600</w:t>
            </w:r>
          </w:p>
        </w:tc>
        <w:tc>
          <w:tcPr>
            <w:tcW w:w="581" w:type="pct"/>
            <w:tcBorders>
              <w:tl2br w:val="nil"/>
              <w:tr2bl w:val="nil"/>
            </w:tcBorders>
            <w:shd w:val="clear" w:color="auto" w:fill="auto"/>
            <w:noWrap/>
            <w:vAlign w:val="center"/>
          </w:tcPr>
          <w:p w14:paraId="7F267BC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27860</w:t>
            </w:r>
          </w:p>
        </w:tc>
        <w:tc>
          <w:tcPr>
            <w:tcW w:w="472" w:type="pct"/>
            <w:tcBorders>
              <w:tl2br w:val="nil"/>
              <w:tr2bl w:val="nil"/>
            </w:tcBorders>
            <w:shd w:val="clear" w:color="auto" w:fill="auto"/>
            <w:noWrap/>
            <w:vAlign w:val="center"/>
          </w:tcPr>
          <w:p w14:paraId="2560B64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91938</w:t>
            </w:r>
          </w:p>
        </w:tc>
      </w:tr>
      <w:tr w14:paraId="16DC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2" w:hRule="atLeast"/>
        </w:trPr>
        <w:tc>
          <w:tcPr>
            <w:tcW w:w="539" w:type="pct"/>
            <w:tcBorders>
              <w:tl2br w:val="nil"/>
              <w:tr2bl w:val="nil"/>
            </w:tcBorders>
            <w:shd w:val="clear" w:color="auto" w:fill="auto"/>
            <w:vAlign w:val="center"/>
          </w:tcPr>
          <w:p w14:paraId="0B469E44">
            <w:pPr>
              <w:keepNext w:val="0"/>
              <w:keepLines w:val="0"/>
              <w:widowControl/>
              <w:suppressLineNumbers w:val="0"/>
              <w:jc w:val="center"/>
              <w:textAlignment w:val="center"/>
              <w:rPr>
                <w:rFonts w:hint="eastAsia" w:ascii="仿宋" w:hAnsi="仿宋" w:eastAsia="仿宋" w:cs="仿宋"/>
                <w:i w:val="0"/>
                <w:iCs w:val="0"/>
                <w:color w:val="auto"/>
                <w:spacing w:val="-2"/>
                <w:sz w:val="18"/>
                <w:szCs w:val="18"/>
                <w:u w:val="none"/>
                <w:lang w:val="en-US" w:eastAsia="zh-CN" w:bidi="ar-SA"/>
              </w:rPr>
            </w:pPr>
            <w:r>
              <w:rPr>
                <w:rFonts w:hint="eastAsia" w:ascii="仿宋" w:hAnsi="仿宋" w:eastAsia="仿宋" w:cs="仿宋"/>
                <w:i w:val="0"/>
                <w:iCs w:val="0"/>
                <w:color w:val="auto"/>
                <w:spacing w:val="-2"/>
                <w:kern w:val="0"/>
                <w:sz w:val="18"/>
                <w:szCs w:val="18"/>
                <w:u w:val="none"/>
                <w:lang w:val="en-US" w:eastAsia="zh-CN" w:bidi="ar"/>
              </w:rPr>
              <w:t>合计</w:t>
            </w:r>
          </w:p>
        </w:tc>
        <w:tc>
          <w:tcPr>
            <w:tcW w:w="380" w:type="pct"/>
            <w:tcBorders>
              <w:tl2br w:val="nil"/>
              <w:tr2bl w:val="nil"/>
            </w:tcBorders>
            <w:shd w:val="clear" w:color="auto" w:fill="auto"/>
            <w:vAlign w:val="center"/>
          </w:tcPr>
          <w:p w14:paraId="777BBB4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464800</w:t>
            </w:r>
          </w:p>
        </w:tc>
        <w:tc>
          <w:tcPr>
            <w:tcW w:w="425" w:type="pct"/>
            <w:tcBorders>
              <w:tl2br w:val="nil"/>
              <w:tr2bl w:val="nil"/>
            </w:tcBorders>
            <w:shd w:val="clear" w:color="auto" w:fill="auto"/>
            <w:vAlign w:val="center"/>
          </w:tcPr>
          <w:p w14:paraId="775A98F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1533840</w:t>
            </w:r>
          </w:p>
        </w:tc>
        <w:tc>
          <w:tcPr>
            <w:tcW w:w="380" w:type="pct"/>
            <w:tcBorders>
              <w:tl2br w:val="nil"/>
              <w:tr2bl w:val="nil"/>
            </w:tcBorders>
            <w:shd w:val="clear" w:color="auto" w:fill="auto"/>
            <w:vAlign w:val="center"/>
          </w:tcPr>
          <w:p w14:paraId="7F4EA00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426808</w:t>
            </w:r>
          </w:p>
        </w:tc>
        <w:tc>
          <w:tcPr>
            <w:tcW w:w="515" w:type="pct"/>
            <w:tcBorders>
              <w:tl2br w:val="nil"/>
              <w:tr2bl w:val="nil"/>
            </w:tcBorders>
            <w:shd w:val="clear" w:color="auto" w:fill="auto"/>
            <w:vAlign w:val="center"/>
          </w:tcPr>
          <w:p w14:paraId="7D17B9E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1408466.4</w:t>
            </w:r>
          </w:p>
        </w:tc>
        <w:tc>
          <w:tcPr>
            <w:tcW w:w="380" w:type="pct"/>
            <w:tcBorders>
              <w:tl2br w:val="nil"/>
              <w:tr2bl w:val="nil"/>
            </w:tcBorders>
            <w:shd w:val="clear" w:color="auto" w:fill="auto"/>
            <w:noWrap/>
            <w:vAlign w:val="center"/>
          </w:tcPr>
          <w:p w14:paraId="6D4FFE3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441393</w:t>
            </w:r>
          </w:p>
        </w:tc>
        <w:tc>
          <w:tcPr>
            <w:tcW w:w="515" w:type="pct"/>
            <w:tcBorders>
              <w:tl2br w:val="nil"/>
              <w:tr2bl w:val="nil"/>
            </w:tcBorders>
            <w:shd w:val="clear" w:color="auto" w:fill="auto"/>
            <w:noWrap/>
            <w:vAlign w:val="center"/>
          </w:tcPr>
          <w:p w14:paraId="138FA37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1456596.9</w:t>
            </w:r>
          </w:p>
        </w:tc>
        <w:tc>
          <w:tcPr>
            <w:tcW w:w="380" w:type="pct"/>
            <w:tcBorders>
              <w:tl2br w:val="nil"/>
              <w:tr2bl w:val="nil"/>
            </w:tcBorders>
            <w:shd w:val="clear" w:color="auto" w:fill="auto"/>
            <w:vAlign w:val="center"/>
          </w:tcPr>
          <w:p w14:paraId="43BB7AD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446963</w:t>
            </w:r>
          </w:p>
        </w:tc>
        <w:tc>
          <w:tcPr>
            <w:tcW w:w="425" w:type="pct"/>
            <w:tcBorders>
              <w:tl2br w:val="nil"/>
              <w:tr2bl w:val="nil"/>
            </w:tcBorders>
            <w:shd w:val="clear" w:color="auto" w:fill="auto"/>
            <w:vAlign w:val="center"/>
          </w:tcPr>
          <w:p w14:paraId="0996F56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1474978</w:t>
            </w:r>
          </w:p>
        </w:tc>
        <w:tc>
          <w:tcPr>
            <w:tcW w:w="581" w:type="pct"/>
            <w:tcBorders>
              <w:tl2br w:val="nil"/>
              <w:tr2bl w:val="nil"/>
            </w:tcBorders>
            <w:shd w:val="clear" w:color="auto" w:fill="auto"/>
            <w:vAlign w:val="center"/>
          </w:tcPr>
          <w:p w14:paraId="3927E6D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380661</w:t>
            </w:r>
          </w:p>
        </w:tc>
        <w:tc>
          <w:tcPr>
            <w:tcW w:w="472" w:type="pct"/>
            <w:tcBorders>
              <w:tl2br w:val="nil"/>
              <w:tr2bl w:val="nil"/>
            </w:tcBorders>
            <w:shd w:val="clear" w:color="auto" w:fill="auto"/>
            <w:vAlign w:val="center"/>
          </w:tcPr>
          <w:p w14:paraId="1253501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spacing w:val="-2"/>
                <w:kern w:val="0"/>
                <w:sz w:val="18"/>
                <w:szCs w:val="18"/>
                <w:u w:val="none"/>
                <w:lang w:val="en-US" w:eastAsia="zh-CN" w:bidi="ar"/>
              </w:rPr>
              <w:t>1256181</w:t>
            </w:r>
          </w:p>
        </w:tc>
      </w:tr>
    </w:tbl>
    <w:p w14:paraId="71652D68">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3.平顶山市第一人民医院（优越路院区）市政供热情况：</w:t>
      </w:r>
    </w:p>
    <w:p w14:paraId="77A454F7">
      <w:pPr>
        <w:ind w:left="0" w:leftChars="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院区3号楼采用市政集中供暖，2024年之前为市政蒸汽采暖，“汽改水”之后为市政热水采暖。院区2020-2024年蒸汽用量分别为4296.2吨、4222.4吨、3878.83吨、5146.02吨、6508.25吨。2024和2025年采暖费用均为97.8万元/年。</w:t>
      </w:r>
    </w:p>
    <w:p w14:paraId="7C3D1A65">
      <w:pPr>
        <w:pStyle w:val="4"/>
        <w:numPr>
          <w:ilvl w:val="0"/>
          <w:numId w:val="7"/>
        </w:numPr>
        <w:spacing w:before="120" w:beforeLines="50" w:after="120" w:afterLines="50"/>
        <w:ind w:leftChars="0"/>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医院主要用能设备</w:t>
      </w:r>
    </w:p>
    <w:p w14:paraId="56EF806F">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1.主要用能系统</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823"/>
        <w:gridCol w:w="1809"/>
        <w:gridCol w:w="1809"/>
        <w:gridCol w:w="1810"/>
      </w:tblGrid>
      <w:tr w14:paraId="01A3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23733D40">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bookmarkStart w:id="3" w:name="_Toc474328861"/>
            <w:r>
              <w:rPr>
                <w:rFonts w:hint="eastAsia" w:ascii="仿宋" w:hAnsi="仿宋" w:eastAsia="仿宋" w:cs="仿宋"/>
                <w:color w:val="auto"/>
                <w:sz w:val="21"/>
                <w:szCs w:val="21"/>
                <w:vertAlign w:val="baseline"/>
                <w:lang w:val="en-US" w:eastAsia="zh-CN"/>
              </w:rPr>
              <w:t>建筑物名称</w:t>
            </w:r>
          </w:p>
        </w:tc>
        <w:tc>
          <w:tcPr>
            <w:tcW w:w="1857" w:type="dxa"/>
            <w:vAlign w:val="top"/>
          </w:tcPr>
          <w:p w14:paraId="737D1E48">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建筑面积</w:t>
            </w:r>
          </w:p>
        </w:tc>
        <w:tc>
          <w:tcPr>
            <w:tcW w:w="1857" w:type="dxa"/>
            <w:vAlign w:val="top"/>
          </w:tcPr>
          <w:p w14:paraId="263748C4">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空调形式</w:t>
            </w:r>
          </w:p>
        </w:tc>
        <w:tc>
          <w:tcPr>
            <w:tcW w:w="1857" w:type="dxa"/>
            <w:vAlign w:val="top"/>
          </w:tcPr>
          <w:p w14:paraId="3332233F">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采暖形式</w:t>
            </w:r>
          </w:p>
        </w:tc>
        <w:tc>
          <w:tcPr>
            <w:tcW w:w="1858" w:type="dxa"/>
            <w:vAlign w:val="top"/>
          </w:tcPr>
          <w:p w14:paraId="5B1D25DB">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热水形式</w:t>
            </w:r>
          </w:p>
        </w:tc>
      </w:tr>
      <w:tr w14:paraId="48AD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14624EF6">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老门诊楼</w:t>
            </w:r>
          </w:p>
        </w:tc>
        <w:tc>
          <w:tcPr>
            <w:tcW w:w="1857" w:type="dxa"/>
            <w:vAlign w:val="top"/>
          </w:tcPr>
          <w:p w14:paraId="0DD50554">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10050</w:t>
            </w:r>
          </w:p>
        </w:tc>
        <w:tc>
          <w:tcPr>
            <w:tcW w:w="1857" w:type="dxa"/>
            <w:vAlign w:val="top"/>
          </w:tcPr>
          <w:p w14:paraId="1E428788">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分体空调</w:t>
            </w:r>
          </w:p>
        </w:tc>
        <w:tc>
          <w:tcPr>
            <w:tcW w:w="1857" w:type="dxa"/>
            <w:vAlign w:val="top"/>
          </w:tcPr>
          <w:p w14:paraId="27FE3014">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分体空调</w:t>
            </w:r>
          </w:p>
        </w:tc>
        <w:tc>
          <w:tcPr>
            <w:tcW w:w="1858" w:type="dxa"/>
            <w:vAlign w:val="top"/>
          </w:tcPr>
          <w:p w14:paraId="6978BF92">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w:t>
            </w:r>
          </w:p>
        </w:tc>
      </w:tr>
      <w:tr w14:paraId="5964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635C4640">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2号楼</w:t>
            </w:r>
          </w:p>
        </w:tc>
        <w:tc>
          <w:tcPr>
            <w:tcW w:w="1857" w:type="dxa"/>
            <w:vAlign w:val="top"/>
          </w:tcPr>
          <w:p w14:paraId="236C036C">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30839</w:t>
            </w:r>
          </w:p>
        </w:tc>
        <w:tc>
          <w:tcPr>
            <w:tcW w:w="1857" w:type="dxa"/>
            <w:vAlign w:val="top"/>
          </w:tcPr>
          <w:p w14:paraId="5DE7FC56">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风冷螺杆</w:t>
            </w:r>
          </w:p>
        </w:tc>
        <w:tc>
          <w:tcPr>
            <w:tcW w:w="1857" w:type="dxa"/>
            <w:vAlign w:val="top"/>
          </w:tcPr>
          <w:p w14:paraId="4FBFF8FC">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风冷螺杆</w:t>
            </w:r>
          </w:p>
        </w:tc>
        <w:tc>
          <w:tcPr>
            <w:tcW w:w="1858" w:type="dxa"/>
            <w:vAlign w:val="top"/>
          </w:tcPr>
          <w:p w14:paraId="18480161">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空气源热泵</w:t>
            </w:r>
          </w:p>
        </w:tc>
      </w:tr>
      <w:tr w14:paraId="7507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157BF715">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3号楼</w:t>
            </w:r>
          </w:p>
        </w:tc>
        <w:tc>
          <w:tcPr>
            <w:tcW w:w="1857" w:type="dxa"/>
            <w:vAlign w:val="top"/>
          </w:tcPr>
          <w:p w14:paraId="02A4ABC5">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47674</w:t>
            </w:r>
          </w:p>
        </w:tc>
        <w:tc>
          <w:tcPr>
            <w:tcW w:w="1857" w:type="dxa"/>
            <w:vAlign w:val="top"/>
          </w:tcPr>
          <w:p w14:paraId="16B37B3C">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水冷螺杆</w:t>
            </w:r>
          </w:p>
        </w:tc>
        <w:tc>
          <w:tcPr>
            <w:tcW w:w="1857" w:type="dxa"/>
            <w:vAlign w:val="top"/>
          </w:tcPr>
          <w:p w14:paraId="7C64761F">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市政供热</w:t>
            </w:r>
          </w:p>
        </w:tc>
        <w:tc>
          <w:tcPr>
            <w:tcW w:w="1858" w:type="dxa"/>
            <w:vAlign w:val="top"/>
          </w:tcPr>
          <w:p w14:paraId="1C8F7519">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空气源热泵</w:t>
            </w:r>
          </w:p>
        </w:tc>
      </w:tr>
      <w:tr w14:paraId="7E05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2E8B6D37">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7号楼</w:t>
            </w:r>
          </w:p>
        </w:tc>
        <w:tc>
          <w:tcPr>
            <w:tcW w:w="1857" w:type="dxa"/>
            <w:vAlign w:val="top"/>
          </w:tcPr>
          <w:p w14:paraId="0629F8B2">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4800</w:t>
            </w:r>
          </w:p>
        </w:tc>
        <w:tc>
          <w:tcPr>
            <w:tcW w:w="1857" w:type="dxa"/>
            <w:vAlign w:val="top"/>
          </w:tcPr>
          <w:p w14:paraId="26C4858D">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rPr>
              <w:t>分体空调</w:t>
            </w:r>
          </w:p>
        </w:tc>
        <w:tc>
          <w:tcPr>
            <w:tcW w:w="1857" w:type="dxa"/>
            <w:vAlign w:val="top"/>
          </w:tcPr>
          <w:p w14:paraId="5DE58E6E">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分体空调</w:t>
            </w:r>
          </w:p>
        </w:tc>
        <w:tc>
          <w:tcPr>
            <w:tcW w:w="1858" w:type="dxa"/>
            <w:vAlign w:val="top"/>
          </w:tcPr>
          <w:p w14:paraId="3E786FD1">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rPr>
              <w:t>--</w:t>
            </w:r>
          </w:p>
        </w:tc>
      </w:tr>
      <w:tr w14:paraId="652E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4772BD9A">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新门诊楼</w:t>
            </w:r>
          </w:p>
        </w:tc>
        <w:tc>
          <w:tcPr>
            <w:tcW w:w="1857" w:type="dxa"/>
            <w:vAlign w:val="top"/>
          </w:tcPr>
          <w:p w14:paraId="25A9CE9C">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val="en-US" w:eastAsia="zh-CN"/>
              </w:rPr>
              <w:t>29758</w:t>
            </w:r>
          </w:p>
        </w:tc>
        <w:tc>
          <w:tcPr>
            <w:tcW w:w="1857" w:type="dxa"/>
            <w:vAlign w:val="top"/>
          </w:tcPr>
          <w:p w14:paraId="1F63CF16">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多联机</w:t>
            </w:r>
          </w:p>
        </w:tc>
        <w:tc>
          <w:tcPr>
            <w:tcW w:w="1857" w:type="dxa"/>
            <w:vAlign w:val="top"/>
          </w:tcPr>
          <w:p w14:paraId="4ED33590">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多联机</w:t>
            </w:r>
          </w:p>
        </w:tc>
        <w:tc>
          <w:tcPr>
            <w:tcW w:w="1858" w:type="dxa"/>
            <w:vAlign w:val="top"/>
          </w:tcPr>
          <w:p w14:paraId="33010375">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空气源热泵</w:t>
            </w:r>
          </w:p>
        </w:tc>
      </w:tr>
      <w:tr w14:paraId="48CC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53D8415C">
            <w:pPr>
              <w:pStyle w:val="14"/>
              <w:keepNext w:val="0"/>
              <w:keepLines w:val="0"/>
              <w:widowControl/>
              <w:suppressLineNumbers w:val="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体检中心</w:t>
            </w:r>
          </w:p>
        </w:tc>
        <w:tc>
          <w:tcPr>
            <w:tcW w:w="1857" w:type="dxa"/>
            <w:vAlign w:val="top"/>
          </w:tcPr>
          <w:p w14:paraId="27AB884E">
            <w:pPr>
              <w:pStyle w:val="14"/>
              <w:keepNext w:val="0"/>
              <w:keepLines w:val="0"/>
              <w:widowControl/>
              <w:suppressLineNumbers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3220</w:t>
            </w:r>
          </w:p>
        </w:tc>
        <w:tc>
          <w:tcPr>
            <w:tcW w:w="1857" w:type="dxa"/>
            <w:vAlign w:val="top"/>
          </w:tcPr>
          <w:p w14:paraId="5BE0B422">
            <w:pPr>
              <w:pStyle w:val="14"/>
              <w:keepNext w:val="0"/>
              <w:keepLines w:val="0"/>
              <w:widowControl/>
              <w:suppressLineNumbers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多联机</w:t>
            </w:r>
          </w:p>
        </w:tc>
        <w:tc>
          <w:tcPr>
            <w:tcW w:w="1857" w:type="dxa"/>
            <w:vAlign w:val="top"/>
          </w:tcPr>
          <w:p w14:paraId="2A7E3348">
            <w:pPr>
              <w:pStyle w:val="14"/>
              <w:keepNext w:val="0"/>
              <w:keepLines w:val="0"/>
              <w:widowControl/>
              <w:suppressLineNumbers w:val="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多联机</w:t>
            </w:r>
          </w:p>
        </w:tc>
        <w:tc>
          <w:tcPr>
            <w:tcW w:w="1858" w:type="dxa"/>
            <w:vAlign w:val="top"/>
          </w:tcPr>
          <w:p w14:paraId="396C4EB7">
            <w:pPr>
              <w:pStyle w:val="14"/>
              <w:keepNext w:val="0"/>
              <w:keepLines w:val="0"/>
              <w:widowControl/>
              <w:suppressLineNumbers w:val="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vertAlign w:val="baseline"/>
                <w:lang w:val="en-US" w:eastAsia="zh-CN"/>
              </w:rPr>
              <w:t>--</w:t>
            </w:r>
          </w:p>
        </w:tc>
      </w:tr>
      <w:tr w14:paraId="4F93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top"/>
          </w:tcPr>
          <w:p w14:paraId="5F7095D7">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rPr>
              <w:t>总建筑面积</w:t>
            </w:r>
          </w:p>
        </w:tc>
        <w:tc>
          <w:tcPr>
            <w:tcW w:w="1857" w:type="dxa"/>
            <w:vAlign w:val="top"/>
          </w:tcPr>
          <w:p w14:paraId="1C2A151A">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126341</w:t>
            </w:r>
          </w:p>
        </w:tc>
        <w:tc>
          <w:tcPr>
            <w:tcW w:w="1857" w:type="dxa"/>
            <w:vAlign w:val="top"/>
          </w:tcPr>
          <w:p w14:paraId="67713609">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rPr>
              <w:t>多联式空调+分体空调</w:t>
            </w:r>
            <w:r>
              <w:rPr>
                <w:rFonts w:hint="eastAsia" w:ascii="仿宋" w:hAnsi="仿宋" w:eastAsia="仿宋" w:cs="仿宋"/>
                <w:color w:val="auto"/>
                <w:sz w:val="21"/>
                <w:szCs w:val="21"/>
                <w:lang w:val="en-US" w:eastAsia="zh-CN"/>
              </w:rPr>
              <w:t>+水冷螺杆+风冷螺杆</w:t>
            </w:r>
          </w:p>
        </w:tc>
        <w:tc>
          <w:tcPr>
            <w:tcW w:w="1857" w:type="dxa"/>
            <w:vAlign w:val="top"/>
          </w:tcPr>
          <w:p w14:paraId="492FFF75">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分体空调</w:t>
            </w:r>
            <w:r>
              <w:rPr>
                <w:rFonts w:hint="eastAsia" w:ascii="仿宋" w:hAnsi="仿宋" w:eastAsia="仿宋" w:cs="仿宋"/>
                <w:color w:val="auto"/>
                <w:sz w:val="21"/>
                <w:szCs w:val="21"/>
                <w:lang w:val="en-US" w:eastAsia="zh-CN"/>
              </w:rPr>
              <w:t>+风冷螺杆+市政供热+多联机</w:t>
            </w:r>
          </w:p>
        </w:tc>
        <w:tc>
          <w:tcPr>
            <w:tcW w:w="1858" w:type="dxa"/>
            <w:vAlign w:val="top"/>
          </w:tcPr>
          <w:p w14:paraId="037648E4">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lang w:eastAsia="zh-CN"/>
              </w:rPr>
              <w:t>空气源热泵</w:t>
            </w:r>
          </w:p>
        </w:tc>
      </w:tr>
      <w:bookmarkEnd w:id="3"/>
    </w:tbl>
    <w:p w14:paraId="6B798702">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bookmarkStart w:id="4" w:name="_Toc31910"/>
      <w:r>
        <w:rPr>
          <w:rFonts w:hint="eastAsia" w:ascii="仿宋" w:hAnsi="仿宋" w:eastAsia="仿宋" w:cs="仿宋"/>
          <w:b w:val="0"/>
          <w:bCs w:val="0"/>
          <w:color w:val="auto"/>
          <w:sz w:val="32"/>
          <w:szCs w:val="32"/>
          <w:lang w:val="en-US" w:eastAsia="zh-CN"/>
        </w:rPr>
        <w:t>2.中央空调系统主要设备</w:t>
      </w:r>
    </w:p>
    <w:tbl>
      <w:tblPr>
        <w:tblStyle w:val="18"/>
        <w:tblW w:w="90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3100"/>
        <w:gridCol w:w="1280"/>
        <w:gridCol w:w="1157"/>
        <w:gridCol w:w="1870"/>
      </w:tblGrid>
      <w:tr w14:paraId="72F8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14:paraId="0D10EC98">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中央空调</w:t>
            </w:r>
          </w:p>
        </w:tc>
        <w:tc>
          <w:tcPr>
            <w:tcW w:w="3100" w:type="dxa"/>
          </w:tcPr>
          <w:p w14:paraId="18A5ABFE">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规格</w:t>
            </w:r>
          </w:p>
        </w:tc>
        <w:tc>
          <w:tcPr>
            <w:tcW w:w="1280" w:type="dxa"/>
          </w:tcPr>
          <w:p w14:paraId="353F0C7E">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数量（台）</w:t>
            </w:r>
          </w:p>
        </w:tc>
        <w:tc>
          <w:tcPr>
            <w:tcW w:w="1157" w:type="dxa"/>
          </w:tcPr>
          <w:p w14:paraId="6C9E28FA">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品牌</w:t>
            </w:r>
          </w:p>
        </w:tc>
        <w:tc>
          <w:tcPr>
            <w:tcW w:w="1870" w:type="dxa"/>
            <w:shd w:val="clear" w:color="auto" w:fill="auto"/>
            <w:vAlign w:val="top"/>
          </w:tcPr>
          <w:p w14:paraId="2968E877">
            <w:pPr>
              <w:pStyle w:val="14"/>
              <w:keepNext w:val="0"/>
              <w:keepLines w:val="0"/>
              <w:widowControl/>
              <w:suppressLineNumbers w:val="0"/>
              <w:ind w:left="0" w:leftChars="0" w:right="0" w:rightChars="0"/>
              <w:jc w:val="center"/>
              <w:rPr>
                <w:rFonts w:hint="eastAsia" w:ascii="仿宋" w:hAnsi="仿宋" w:eastAsia="仿宋" w:cs="仿宋"/>
                <w:color w:val="auto"/>
                <w:kern w:val="0"/>
                <w:sz w:val="21"/>
                <w:szCs w:val="21"/>
                <w:vertAlign w:val="baseline"/>
                <w:lang w:val="en-US" w:eastAsia="zh-CN" w:bidi="ar"/>
              </w:rPr>
            </w:pPr>
            <w:r>
              <w:rPr>
                <w:rFonts w:hint="eastAsia" w:ascii="仿宋" w:hAnsi="仿宋" w:eastAsia="仿宋" w:cs="仿宋"/>
                <w:color w:val="auto"/>
                <w:sz w:val="21"/>
                <w:szCs w:val="21"/>
                <w:vertAlign w:val="baseline"/>
                <w:lang w:val="en-US" w:eastAsia="zh-CN"/>
              </w:rPr>
              <w:t>安装位置</w:t>
            </w:r>
          </w:p>
        </w:tc>
      </w:tr>
      <w:tr w14:paraId="0728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656" w:type="dxa"/>
            <w:vAlign w:val="center"/>
          </w:tcPr>
          <w:p w14:paraId="53D7F471">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风冷螺杆</w:t>
            </w:r>
          </w:p>
        </w:tc>
        <w:tc>
          <w:tcPr>
            <w:tcW w:w="3100" w:type="dxa"/>
            <w:vAlign w:val="center"/>
          </w:tcPr>
          <w:p w14:paraId="73865560">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制冷量：1107kw；</w:t>
            </w:r>
          </w:p>
          <w:p w14:paraId="59A5FA27">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制热量1248kw；功率：337kw</w:t>
            </w:r>
          </w:p>
        </w:tc>
        <w:tc>
          <w:tcPr>
            <w:tcW w:w="1280" w:type="dxa"/>
            <w:vAlign w:val="center"/>
          </w:tcPr>
          <w:p w14:paraId="70F71A01">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3</w:t>
            </w:r>
          </w:p>
        </w:tc>
        <w:tc>
          <w:tcPr>
            <w:tcW w:w="1157" w:type="dxa"/>
            <w:shd w:val="clear" w:color="auto" w:fill="auto"/>
            <w:vAlign w:val="center"/>
          </w:tcPr>
          <w:p w14:paraId="3BAC55D3">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克莱门特</w:t>
            </w:r>
          </w:p>
        </w:tc>
        <w:tc>
          <w:tcPr>
            <w:tcW w:w="1870" w:type="dxa"/>
            <w:shd w:val="clear" w:color="auto" w:fill="auto"/>
            <w:vAlign w:val="center"/>
          </w:tcPr>
          <w:p w14:paraId="44FD0B8B">
            <w:pPr>
              <w:pStyle w:val="14"/>
              <w:keepNext w:val="0"/>
              <w:keepLines w:val="0"/>
              <w:widowControl/>
              <w:suppressLineNumbers w:val="0"/>
              <w:ind w:left="0" w:leftChars="0" w:right="0" w:rightChars="0"/>
              <w:jc w:val="center"/>
              <w:rPr>
                <w:rFonts w:hint="eastAsia" w:ascii="仿宋" w:hAnsi="仿宋" w:eastAsia="仿宋" w:cs="仿宋"/>
                <w:color w:val="auto"/>
                <w:kern w:val="0"/>
                <w:sz w:val="21"/>
                <w:szCs w:val="21"/>
                <w:vertAlign w:val="baseline"/>
                <w:lang w:val="en-US" w:eastAsia="zh-CN" w:bidi="ar"/>
              </w:rPr>
            </w:pPr>
            <w:r>
              <w:rPr>
                <w:rFonts w:hint="eastAsia" w:ascii="仿宋" w:hAnsi="仿宋" w:eastAsia="仿宋" w:cs="仿宋"/>
                <w:color w:val="auto"/>
                <w:sz w:val="21"/>
                <w:szCs w:val="21"/>
                <w:vertAlign w:val="baseline"/>
                <w:lang w:val="en-US" w:eastAsia="zh-CN"/>
              </w:rPr>
              <w:t>2#楼屋面</w:t>
            </w:r>
          </w:p>
        </w:tc>
      </w:tr>
      <w:tr w14:paraId="4C08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shd w:val="clear" w:color="auto" w:fill="auto"/>
            <w:vAlign w:val="center"/>
          </w:tcPr>
          <w:p w14:paraId="2DEB4755">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水冷螺杆</w:t>
            </w:r>
          </w:p>
        </w:tc>
        <w:tc>
          <w:tcPr>
            <w:tcW w:w="3100" w:type="dxa"/>
            <w:shd w:val="clear" w:color="auto" w:fill="auto"/>
            <w:vAlign w:val="center"/>
          </w:tcPr>
          <w:p w14:paraId="190598B3">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制冷量：1107kw；</w:t>
            </w:r>
          </w:p>
          <w:p w14:paraId="4F3818D6">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功率：368/354kw</w:t>
            </w:r>
          </w:p>
        </w:tc>
        <w:tc>
          <w:tcPr>
            <w:tcW w:w="1280" w:type="dxa"/>
            <w:shd w:val="clear" w:color="auto" w:fill="auto"/>
            <w:vAlign w:val="center"/>
          </w:tcPr>
          <w:p w14:paraId="3D5A06DB">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3</w:t>
            </w:r>
          </w:p>
        </w:tc>
        <w:tc>
          <w:tcPr>
            <w:tcW w:w="1157" w:type="dxa"/>
            <w:shd w:val="clear" w:color="auto" w:fill="auto"/>
            <w:vAlign w:val="center"/>
          </w:tcPr>
          <w:p w14:paraId="7CDA50BD">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克莱门特</w:t>
            </w:r>
          </w:p>
        </w:tc>
        <w:tc>
          <w:tcPr>
            <w:tcW w:w="1870" w:type="dxa"/>
            <w:shd w:val="clear" w:color="auto" w:fill="auto"/>
            <w:vAlign w:val="center"/>
          </w:tcPr>
          <w:p w14:paraId="06EA982C">
            <w:pPr>
              <w:pStyle w:val="14"/>
              <w:keepNext w:val="0"/>
              <w:keepLines w:val="0"/>
              <w:widowControl/>
              <w:suppressLineNumbers w:val="0"/>
              <w:ind w:left="0" w:leftChars="0" w:right="0" w:rightChars="0"/>
              <w:jc w:val="center"/>
              <w:rPr>
                <w:rFonts w:hint="eastAsia" w:ascii="仿宋" w:hAnsi="仿宋" w:eastAsia="仿宋" w:cs="仿宋"/>
                <w:color w:val="auto"/>
                <w:kern w:val="0"/>
                <w:sz w:val="21"/>
                <w:szCs w:val="21"/>
                <w:vertAlign w:val="baseline"/>
                <w:lang w:val="en-US" w:eastAsia="zh-CN" w:bidi="ar"/>
              </w:rPr>
            </w:pPr>
            <w:r>
              <w:rPr>
                <w:rFonts w:hint="eastAsia" w:ascii="仿宋" w:hAnsi="仿宋" w:eastAsia="仿宋" w:cs="仿宋"/>
                <w:color w:val="auto"/>
                <w:sz w:val="21"/>
                <w:szCs w:val="21"/>
                <w:vertAlign w:val="baseline"/>
                <w:lang w:val="en-US" w:eastAsia="zh-CN"/>
              </w:rPr>
              <w:t>3#楼地下室</w:t>
            </w:r>
          </w:p>
        </w:tc>
      </w:tr>
    </w:tbl>
    <w:p w14:paraId="3002FCCD">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3.主要大功率医疗设备</w:t>
      </w:r>
      <w:bookmarkEnd w:id="4"/>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2"/>
        <w:gridCol w:w="1360"/>
        <w:gridCol w:w="1361"/>
        <w:gridCol w:w="1526"/>
        <w:gridCol w:w="1500"/>
        <w:gridCol w:w="1601"/>
      </w:tblGrid>
      <w:tr w14:paraId="3127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7" w:hRule="atLeast"/>
        </w:trPr>
        <w:tc>
          <w:tcPr>
            <w:tcW w:w="1760" w:type="dxa"/>
          </w:tcPr>
          <w:p w14:paraId="15BA7E97">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科室</w:t>
            </w:r>
          </w:p>
        </w:tc>
        <w:tc>
          <w:tcPr>
            <w:tcW w:w="1388" w:type="dxa"/>
          </w:tcPr>
          <w:p w14:paraId="4268BAC3">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品类</w:t>
            </w:r>
          </w:p>
        </w:tc>
        <w:tc>
          <w:tcPr>
            <w:tcW w:w="1389" w:type="dxa"/>
          </w:tcPr>
          <w:p w14:paraId="1ACF5449">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功率</w:t>
            </w:r>
          </w:p>
        </w:tc>
        <w:tc>
          <w:tcPr>
            <w:tcW w:w="1567" w:type="dxa"/>
          </w:tcPr>
          <w:p w14:paraId="7638763E">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数量</w:t>
            </w:r>
          </w:p>
        </w:tc>
        <w:tc>
          <w:tcPr>
            <w:tcW w:w="1533" w:type="dxa"/>
          </w:tcPr>
          <w:p w14:paraId="0EF89AC6">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总功率</w:t>
            </w:r>
          </w:p>
        </w:tc>
        <w:tc>
          <w:tcPr>
            <w:tcW w:w="1645" w:type="dxa"/>
          </w:tcPr>
          <w:p w14:paraId="02A2F092">
            <w:pPr>
              <w:pStyle w:val="4"/>
              <w:numPr>
                <w:ilvl w:val="0"/>
                <w:numId w:val="0"/>
              </w:numPr>
              <w:spacing w:before="120" w:beforeLines="50" w:after="120" w:afterLines="50"/>
              <w:ind w:left="0" w:leftChars="0" w:firstLine="0" w:firstLineChars="0"/>
              <w:jc w:val="center"/>
              <w:outlineLvl w:val="9"/>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楼栋</w:t>
            </w:r>
          </w:p>
        </w:tc>
      </w:tr>
      <w:tr w14:paraId="5A95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76A4F39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放疗科</w:t>
            </w:r>
          </w:p>
        </w:tc>
        <w:tc>
          <w:tcPr>
            <w:tcW w:w="1388" w:type="dxa"/>
            <w:vAlign w:val="center"/>
          </w:tcPr>
          <w:p w14:paraId="7A814CEE">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直加</w:t>
            </w:r>
          </w:p>
        </w:tc>
        <w:tc>
          <w:tcPr>
            <w:tcW w:w="1389" w:type="dxa"/>
            <w:vAlign w:val="center"/>
          </w:tcPr>
          <w:p w14:paraId="4E69F61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30</w:t>
            </w:r>
          </w:p>
        </w:tc>
        <w:tc>
          <w:tcPr>
            <w:tcW w:w="1567" w:type="dxa"/>
            <w:vAlign w:val="center"/>
          </w:tcPr>
          <w:p w14:paraId="6AB6E90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487EC26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30</w:t>
            </w:r>
          </w:p>
        </w:tc>
        <w:tc>
          <w:tcPr>
            <w:tcW w:w="1645" w:type="dxa"/>
            <w:vAlign w:val="center"/>
          </w:tcPr>
          <w:p w14:paraId="3260A952">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2D45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22F46AD3">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放疗科</w:t>
            </w:r>
          </w:p>
        </w:tc>
        <w:tc>
          <w:tcPr>
            <w:tcW w:w="1388" w:type="dxa"/>
            <w:vAlign w:val="center"/>
          </w:tcPr>
          <w:p w14:paraId="5CEF616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水冷机</w:t>
            </w:r>
          </w:p>
        </w:tc>
        <w:tc>
          <w:tcPr>
            <w:tcW w:w="1389" w:type="dxa"/>
            <w:vAlign w:val="center"/>
          </w:tcPr>
          <w:p w14:paraId="515BF073">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5.5</w:t>
            </w:r>
          </w:p>
        </w:tc>
        <w:tc>
          <w:tcPr>
            <w:tcW w:w="1567" w:type="dxa"/>
            <w:vAlign w:val="center"/>
          </w:tcPr>
          <w:p w14:paraId="34F0818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43F38DE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5.5</w:t>
            </w:r>
          </w:p>
        </w:tc>
        <w:tc>
          <w:tcPr>
            <w:tcW w:w="1645" w:type="dxa"/>
            <w:vAlign w:val="center"/>
          </w:tcPr>
          <w:p w14:paraId="561C7B30">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575C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312C281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CT室</w:t>
            </w:r>
          </w:p>
        </w:tc>
        <w:tc>
          <w:tcPr>
            <w:tcW w:w="1388" w:type="dxa"/>
            <w:vAlign w:val="center"/>
          </w:tcPr>
          <w:p w14:paraId="5A36C0C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16排</w:t>
            </w:r>
          </w:p>
        </w:tc>
        <w:tc>
          <w:tcPr>
            <w:tcW w:w="1389" w:type="dxa"/>
            <w:vAlign w:val="center"/>
          </w:tcPr>
          <w:p w14:paraId="6765D05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63</w:t>
            </w:r>
          </w:p>
        </w:tc>
        <w:tc>
          <w:tcPr>
            <w:tcW w:w="1567" w:type="dxa"/>
            <w:vAlign w:val="center"/>
          </w:tcPr>
          <w:p w14:paraId="0790A02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35FBD9A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63</w:t>
            </w:r>
          </w:p>
        </w:tc>
        <w:tc>
          <w:tcPr>
            <w:tcW w:w="1645" w:type="dxa"/>
            <w:vAlign w:val="center"/>
          </w:tcPr>
          <w:p w14:paraId="497AA42F">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777F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474899A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CT室</w:t>
            </w:r>
          </w:p>
        </w:tc>
        <w:tc>
          <w:tcPr>
            <w:tcW w:w="1388" w:type="dxa"/>
            <w:vAlign w:val="center"/>
          </w:tcPr>
          <w:p w14:paraId="386D456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256排</w:t>
            </w:r>
          </w:p>
        </w:tc>
        <w:tc>
          <w:tcPr>
            <w:tcW w:w="1389" w:type="dxa"/>
            <w:vAlign w:val="center"/>
          </w:tcPr>
          <w:p w14:paraId="7231375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175</w:t>
            </w:r>
          </w:p>
        </w:tc>
        <w:tc>
          <w:tcPr>
            <w:tcW w:w="1567" w:type="dxa"/>
            <w:vAlign w:val="center"/>
          </w:tcPr>
          <w:p w14:paraId="38F2511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627A817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175</w:t>
            </w:r>
          </w:p>
        </w:tc>
        <w:tc>
          <w:tcPr>
            <w:tcW w:w="1645" w:type="dxa"/>
            <w:vAlign w:val="center"/>
          </w:tcPr>
          <w:p w14:paraId="3C668792">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525E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57AD64A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磁共振</w:t>
            </w:r>
          </w:p>
        </w:tc>
        <w:tc>
          <w:tcPr>
            <w:tcW w:w="1388" w:type="dxa"/>
            <w:vAlign w:val="center"/>
          </w:tcPr>
          <w:p w14:paraId="2EC061B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1.5T</w:t>
            </w:r>
          </w:p>
        </w:tc>
        <w:tc>
          <w:tcPr>
            <w:tcW w:w="1389" w:type="dxa"/>
            <w:vAlign w:val="center"/>
          </w:tcPr>
          <w:p w14:paraId="1D51FD2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60</w:t>
            </w:r>
          </w:p>
        </w:tc>
        <w:tc>
          <w:tcPr>
            <w:tcW w:w="1567" w:type="dxa"/>
            <w:vAlign w:val="center"/>
          </w:tcPr>
          <w:p w14:paraId="44E1503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5A6BB1DE">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60</w:t>
            </w:r>
          </w:p>
        </w:tc>
        <w:tc>
          <w:tcPr>
            <w:tcW w:w="1645" w:type="dxa"/>
            <w:vAlign w:val="center"/>
          </w:tcPr>
          <w:p w14:paraId="5278FAE8">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1934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0A998DF2">
            <w:pPr>
              <w:keepNext w:val="0"/>
              <w:keepLines w:val="0"/>
              <w:widowControl/>
              <w:suppressLineNumbers w:val="0"/>
              <w:jc w:val="center"/>
              <w:textAlignment w:val="center"/>
              <w:rPr>
                <w:rFonts w:hint="eastAsia" w:ascii="仿宋" w:hAnsi="仿宋" w:eastAsia="仿宋" w:cs="仿宋"/>
                <w:color w:val="auto"/>
                <w:sz w:val="21"/>
                <w:szCs w:val="21"/>
                <w:highlight w:val="yellow"/>
                <w:lang w:eastAsia="zh-CN"/>
              </w:rPr>
            </w:pPr>
            <w:r>
              <w:rPr>
                <w:rFonts w:hint="eastAsia" w:ascii="仿宋" w:hAnsi="仿宋" w:eastAsia="仿宋" w:cs="仿宋"/>
                <w:i w:val="0"/>
                <w:iCs w:val="0"/>
                <w:color w:val="000000"/>
                <w:spacing w:val="-2"/>
                <w:kern w:val="0"/>
                <w:sz w:val="21"/>
                <w:szCs w:val="21"/>
                <w:u w:val="none"/>
                <w:lang w:val="en-US" w:eastAsia="zh-CN" w:bidi="ar"/>
              </w:rPr>
              <w:t>磁共振</w:t>
            </w:r>
          </w:p>
        </w:tc>
        <w:tc>
          <w:tcPr>
            <w:tcW w:w="1388" w:type="dxa"/>
            <w:vAlign w:val="center"/>
          </w:tcPr>
          <w:p w14:paraId="6EDAD4BC">
            <w:pPr>
              <w:keepNext w:val="0"/>
              <w:keepLines w:val="0"/>
              <w:widowControl/>
              <w:suppressLineNumbers w:val="0"/>
              <w:jc w:val="center"/>
              <w:textAlignment w:val="center"/>
              <w:rPr>
                <w:rFonts w:hint="eastAsia" w:ascii="仿宋" w:hAnsi="仿宋" w:eastAsia="仿宋" w:cs="仿宋"/>
                <w:color w:val="auto"/>
                <w:sz w:val="21"/>
                <w:szCs w:val="21"/>
                <w:highlight w:val="yellow"/>
                <w:lang w:val="en-US" w:eastAsia="zh-CN"/>
              </w:rPr>
            </w:pPr>
            <w:r>
              <w:rPr>
                <w:rFonts w:hint="eastAsia" w:ascii="仿宋" w:hAnsi="仿宋" w:eastAsia="仿宋" w:cs="仿宋"/>
                <w:i w:val="0"/>
                <w:iCs w:val="0"/>
                <w:color w:val="000000"/>
                <w:spacing w:val="-2"/>
                <w:kern w:val="0"/>
                <w:sz w:val="21"/>
                <w:szCs w:val="21"/>
                <w:u w:val="none"/>
                <w:lang w:val="en-US" w:eastAsia="zh-CN" w:bidi="ar"/>
              </w:rPr>
              <w:t>水冷机</w:t>
            </w:r>
          </w:p>
        </w:tc>
        <w:tc>
          <w:tcPr>
            <w:tcW w:w="1389" w:type="dxa"/>
            <w:vAlign w:val="center"/>
          </w:tcPr>
          <w:p w14:paraId="0BFDFE66">
            <w:pPr>
              <w:keepNext w:val="0"/>
              <w:keepLines w:val="0"/>
              <w:widowControl/>
              <w:suppressLineNumbers w:val="0"/>
              <w:jc w:val="center"/>
              <w:textAlignment w:val="center"/>
              <w:rPr>
                <w:rFonts w:hint="eastAsia" w:ascii="仿宋" w:hAnsi="仿宋" w:eastAsia="仿宋" w:cs="仿宋"/>
                <w:color w:val="auto"/>
                <w:sz w:val="21"/>
                <w:szCs w:val="21"/>
                <w:highlight w:val="yellow"/>
                <w:lang w:val="en-US" w:eastAsia="zh-CN"/>
              </w:rPr>
            </w:pPr>
            <w:r>
              <w:rPr>
                <w:rFonts w:hint="eastAsia" w:ascii="仿宋" w:hAnsi="仿宋" w:eastAsia="仿宋" w:cs="仿宋"/>
                <w:i w:val="0"/>
                <w:iCs w:val="0"/>
                <w:color w:val="000000"/>
                <w:spacing w:val="-2"/>
                <w:kern w:val="0"/>
                <w:sz w:val="21"/>
                <w:szCs w:val="21"/>
                <w:u w:val="none"/>
                <w:lang w:val="en-US" w:eastAsia="zh-CN" w:bidi="ar"/>
              </w:rPr>
              <w:t>14</w:t>
            </w:r>
          </w:p>
        </w:tc>
        <w:tc>
          <w:tcPr>
            <w:tcW w:w="1567" w:type="dxa"/>
            <w:vAlign w:val="center"/>
          </w:tcPr>
          <w:p w14:paraId="09B1D8EE">
            <w:pPr>
              <w:keepNext w:val="0"/>
              <w:keepLines w:val="0"/>
              <w:widowControl/>
              <w:suppressLineNumbers w:val="0"/>
              <w:jc w:val="center"/>
              <w:textAlignment w:val="center"/>
              <w:rPr>
                <w:rFonts w:hint="eastAsia" w:ascii="仿宋" w:hAnsi="仿宋" w:eastAsia="仿宋" w:cs="仿宋"/>
                <w:color w:val="auto"/>
                <w:sz w:val="21"/>
                <w:szCs w:val="21"/>
                <w:highlight w:val="yellow"/>
                <w:lang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7C3C72E3">
            <w:pPr>
              <w:keepNext w:val="0"/>
              <w:keepLines w:val="0"/>
              <w:widowControl/>
              <w:suppressLineNumbers w:val="0"/>
              <w:jc w:val="center"/>
              <w:textAlignment w:val="center"/>
              <w:rPr>
                <w:rFonts w:hint="eastAsia" w:ascii="仿宋" w:hAnsi="仿宋" w:eastAsia="仿宋" w:cs="仿宋"/>
                <w:color w:val="auto"/>
                <w:sz w:val="21"/>
                <w:szCs w:val="21"/>
                <w:highlight w:val="yellow"/>
                <w:lang w:eastAsia="zh-CN"/>
              </w:rPr>
            </w:pPr>
            <w:r>
              <w:rPr>
                <w:rFonts w:hint="eastAsia" w:ascii="仿宋" w:hAnsi="仿宋" w:eastAsia="仿宋" w:cs="仿宋"/>
                <w:i w:val="0"/>
                <w:iCs w:val="0"/>
                <w:color w:val="000000"/>
                <w:spacing w:val="-2"/>
                <w:kern w:val="0"/>
                <w:sz w:val="21"/>
                <w:szCs w:val="21"/>
                <w:u w:val="none"/>
                <w:lang w:val="en-US" w:eastAsia="zh-CN" w:bidi="ar"/>
              </w:rPr>
              <w:t>14</w:t>
            </w:r>
          </w:p>
        </w:tc>
        <w:tc>
          <w:tcPr>
            <w:tcW w:w="1645" w:type="dxa"/>
            <w:vAlign w:val="center"/>
          </w:tcPr>
          <w:p w14:paraId="5C729CD3">
            <w:pPr>
              <w:keepNext w:val="0"/>
              <w:keepLines w:val="0"/>
              <w:widowControl/>
              <w:suppressLineNumbers w:val="0"/>
              <w:jc w:val="center"/>
              <w:rPr>
                <w:rFonts w:hint="eastAsia" w:ascii="仿宋" w:hAnsi="仿宋" w:eastAsia="仿宋" w:cs="仿宋"/>
                <w:color w:val="auto"/>
                <w:sz w:val="21"/>
                <w:szCs w:val="21"/>
                <w:highlight w:val="yellow"/>
                <w:lang w:eastAsia="zh-CN"/>
              </w:rPr>
            </w:pPr>
            <w:r>
              <w:rPr>
                <w:rFonts w:hint="eastAsia" w:ascii="仿宋" w:hAnsi="仿宋" w:eastAsia="仿宋" w:cs="仿宋"/>
                <w:color w:val="auto"/>
                <w:sz w:val="21"/>
                <w:szCs w:val="21"/>
                <w:vertAlign w:val="baseline"/>
                <w:lang w:val="en-US" w:eastAsia="zh-CN"/>
              </w:rPr>
              <w:t>2#楼</w:t>
            </w:r>
          </w:p>
        </w:tc>
      </w:tr>
      <w:tr w14:paraId="02D7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2973E78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磁共振</w:t>
            </w:r>
          </w:p>
        </w:tc>
        <w:tc>
          <w:tcPr>
            <w:tcW w:w="1388" w:type="dxa"/>
            <w:vAlign w:val="center"/>
          </w:tcPr>
          <w:p w14:paraId="0C5A97BE">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机房空调</w:t>
            </w:r>
          </w:p>
        </w:tc>
        <w:tc>
          <w:tcPr>
            <w:tcW w:w="1389" w:type="dxa"/>
            <w:vAlign w:val="center"/>
          </w:tcPr>
          <w:p w14:paraId="013FCBD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24</w:t>
            </w:r>
          </w:p>
        </w:tc>
        <w:tc>
          <w:tcPr>
            <w:tcW w:w="1567" w:type="dxa"/>
            <w:vAlign w:val="center"/>
          </w:tcPr>
          <w:p w14:paraId="45A2B14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29113054">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24</w:t>
            </w:r>
          </w:p>
        </w:tc>
        <w:tc>
          <w:tcPr>
            <w:tcW w:w="1645" w:type="dxa"/>
            <w:vAlign w:val="center"/>
          </w:tcPr>
          <w:p w14:paraId="4EE42C25">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378F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3D323D2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磁共振</w:t>
            </w:r>
          </w:p>
        </w:tc>
        <w:tc>
          <w:tcPr>
            <w:tcW w:w="1388" w:type="dxa"/>
            <w:vAlign w:val="center"/>
          </w:tcPr>
          <w:p w14:paraId="7F6DA0B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3.0T</w:t>
            </w:r>
          </w:p>
        </w:tc>
        <w:tc>
          <w:tcPr>
            <w:tcW w:w="1389" w:type="dxa"/>
            <w:vAlign w:val="center"/>
          </w:tcPr>
          <w:p w14:paraId="3F61B7E1">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88</w:t>
            </w:r>
          </w:p>
        </w:tc>
        <w:tc>
          <w:tcPr>
            <w:tcW w:w="1567" w:type="dxa"/>
            <w:vAlign w:val="center"/>
          </w:tcPr>
          <w:p w14:paraId="20E7C82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6116F19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88</w:t>
            </w:r>
          </w:p>
        </w:tc>
        <w:tc>
          <w:tcPr>
            <w:tcW w:w="1645" w:type="dxa"/>
            <w:vAlign w:val="center"/>
          </w:tcPr>
          <w:p w14:paraId="31F244D2">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6F73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5E61DA4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磁共振</w:t>
            </w:r>
          </w:p>
        </w:tc>
        <w:tc>
          <w:tcPr>
            <w:tcW w:w="1388" w:type="dxa"/>
            <w:vAlign w:val="center"/>
          </w:tcPr>
          <w:p w14:paraId="51FC178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水冷机</w:t>
            </w:r>
          </w:p>
        </w:tc>
        <w:tc>
          <w:tcPr>
            <w:tcW w:w="1389" w:type="dxa"/>
            <w:vAlign w:val="center"/>
          </w:tcPr>
          <w:p w14:paraId="7981B854">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29</w:t>
            </w:r>
          </w:p>
        </w:tc>
        <w:tc>
          <w:tcPr>
            <w:tcW w:w="1567" w:type="dxa"/>
            <w:vAlign w:val="center"/>
          </w:tcPr>
          <w:p w14:paraId="2B438C4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007DA03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29</w:t>
            </w:r>
          </w:p>
        </w:tc>
        <w:tc>
          <w:tcPr>
            <w:tcW w:w="1645" w:type="dxa"/>
            <w:vAlign w:val="center"/>
          </w:tcPr>
          <w:p w14:paraId="213ADEB5">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5A70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575EFBC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磁共振</w:t>
            </w:r>
          </w:p>
        </w:tc>
        <w:tc>
          <w:tcPr>
            <w:tcW w:w="1388" w:type="dxa"/>
            <w:vAlign w:val="center"/>
          </w:tcPr>
          <w:p w14:paraId="212CB9F1">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机房空调</w:t>
            </w:r>
          </w:p>
        </w:tc>
        <w:tc>
          <w:tcPr>
            <w:tcW w:w="1389" w:type="dxa"/>
            <w:vAlign w:val="center"/>
          </w:tcPr>
          <w:p w14:paraId="21F3C1E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25.8</w:t>
            </w:r>
          </w:p>
        </w:tc>
        <w:tc>
          <w:tcPr>
            <w:tcW w:w="1567" w:type="dxa"/>
            <w:vAlign w:val="center"/>
          </w:tcPr>
          <w:p w14:paraId="574F6BA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6C14BF50">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25.8</w:t>
            </w:r>
          </w:p>
        </w:tc>
        <w:tc>
          <w:tcPr>
            <w:tcW w:w="1645" w:type="dxa"/>
            <w:vAlign w:val="center"/>
          </w:tcPr>
          <w:p w14:paraId="28FE2590">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58E1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01ED49D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供氧</w:t>
            </w:r>
          </w:p>
        </w:tc>
        <w:tc>
          <w:tcPr>
            <w:tcW w:w="1388" w:type="dxa"/>
            <w:vAlign w:val="center"/>
          </w:tcPr>
          <w:p w14:paraId="21E9846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制氧机</w:t>
            </w:r>
          </w:p>
        </w:tc>
        <w:tc>
          <w:tcPr>
            <w:tcW w:w="1389" w:type="dxa"/>
            <w:vAlign w:val="center"/>
          </w:tcPr>
          <w:p w14:paraId="1FDD0B73">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75</w:t>
            </w:r>
          </w:p>
        </w:tc>
        <w:tc>
          <w:tcPr>
            <w:tcW w:w="1567" w:type="dxa"/>
            <w:vAlign w:val="center"/>
          </w:tcPr>
          <w:p w14:paraId="46682952">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w:t>
            </w:r>
          </w:p>
        </w:tc>
        <w:tc>
          <w:tcPr>
            <w:tcW w:w="1533" w:type="dxa"/>
            <w:vAlign w:val="center"/>
          </w:tcPr>
          <w:p w14:paraId="0D50915C">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150</w:t>
            </w:r>
          </w:p>
        </w:tc>
        <w:tc>
          <w:tcPr>
            <w:tcW w:w="1645" w:type="dxa"/>
            <w:vAlign w:val="center"/>
          </w:tcPr>
          <w:p w14:paraId="7F237046">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3C3B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5288CDF0">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供氧</w:t>
            </w:r>
          </w:p>
        </w:tc>
        <w:tc>
          <w:tcPr>
            <w:tcW w:w="1388" w:type="dxa"/>
            <w:vAlign w:val="center"/>
          </w:tcPr>
          <w:p w14:paraId="53EB21A1">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冻干机</w:t>
            </w:r>
          </w:p>
        </w:tc>
        <w:tc>
          <w:tcPr>
            <w:tcW w:w="1389" w:type="dxa"/>
            <w:vAlign w:val="center"/>
          </w:tcPr>
          <w:p w14:paraId="4EBED42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2.5</w:t>
            </w:r>
          </w:p>
        </w:tc>
        <w:tc>
          <w:tcPr>
            <w:tcW w:w="1567" w:type="dxa"/>
            <w:vAlign w:val="center"/>
          </w:tcPr>
          <w:p w14:paraId="4B17303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w:t>
            </w:r>
          </w:p>
        </w:tc>
        <w:tc>
          <w:tcPr>
            <w:tcW w:w="1533" w:type="dxa"/>
            <w:vAlign w:val="center"/>
          </w:tcPr>
          <w:p w14:paraId="3970216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w:t>
            </w:r>
          </w:p>
        </w:tc>
        <w:tc>
          <w:tcPr>
            <w:tcW w:w="1645" w:type="dxa"/>
            <w:vAlign w:val="center"/>
          </w:tcPr>
          <w:p w14:paraId="03EFB92D">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467D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25096A5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透析室</w:t>
            </w:r>
          </w:p>
        </w:tc>
        <w:tc>
          <w:tcPr>
            <w:tcW w:w="1388" w:type="dxa"/>
            <w:vAlign w:val="center"/>
          </w:tcPr>
          <w:p w14:paraId="5BF41D0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纯水机</w:t>
            </w:r>
          </w:p>
        </w:tc>
        <w:tc>
          <w:tcPr>
            <w:tcW w:w="1389" w:type="dxa"/>
            <w:vAlign w:val="center"/>
          </w:tcPr>
          <w:p w14:paraId="22C32AB1">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8</w:t>
            </w:r>
          </w:p>
        </w:tc>
        <w:tc>
          <w:tcPr>
            <w:tcW w:w="1567" w:type="dxa"/>
            <w:vAlign w:val="center"/>
          </w:tcPr>
          <w:p w14:paraId="2811A86E">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w:t>
            </w:r>
          </w:p>
        </w:tc>
        <w:tc>
          <w:tcPr>
            <w:tcW w:w="1533" w:type="dxa"/>
            <w:vAlign w:val="center"/>
          </w:tcPr>
          <w:p w14:paraId="1EE75CC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8</w:t>
            </w:r>
          </w:p>
        </w:tc>
        <w:tc>
          <w:tcPr>
            <w:tcW w:w="1645" w:type="dxa"/>
            <w:vAlign w:val="center"/>
          </w:tcPr>
          <w:p w14:paraId="58B93D2A">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3EA5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33E623BC">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透析室</w:t>
            </w:r>
          </w:p>
        </w:tc>
        <w:tc>
          <w:tcPr>
            <w:tcW w:w="1388" w:type="dxa"/>
            <w:vAlign w:val="center"/>
          </w:tcPr>
          <w:p w14:paraId="7D26AB14">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增压泵</w:t>
            </w:r>
          </w:p>
        </w:tc>
        <w:tc>
          <w:tcPr>
            <w:tcW w:w="1389" w:type="dxa"/>
            <w:vAlign w:val="center"/>
          </w:tcPr>
          <w:p w14:paraId="50FEEA6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w:t>
            </w:r>
          </w:p>
        </w:tc>
        <w:tc>
          <w:tcPr>
            <w:tcW w:w="1567" w:type="dxa"/>
            <w:vAlign w:val="center"/>
          </w:tcPr>
          <w:p w14:paraId="12EB019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w:t>
            </w:r>
          </w:p>
        </w:tc>
        <w:tc>
          <w:tcPr>
            <w:tcW w:w="1533" w:type="dxa"/>
            <w:vAlign w:val="center"/>
          </w:tcPr>
          <w:p w14:paraId="042997E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w:t>
            </w:r>
          </w:p>
        </w:tc>
        <w:tc>
          <w:tcPr>
            <w:tcW w:w="1645" w:type="dxa"/>
            <w:vAlign w:val="center"/>
          </w:tcPr>
          <w:p w14:paraId="4A2EEDEB">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3929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7BEF0D5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透析室</w:t>
            </w:r>
          </w:p>
        </w:tc>
        <w:tc>
          <w:tcPr>
            <w:tcW w:w="1388" w:type="dxa"/>
            <w:vAlign w:val="center"/>
          </w:tcPr>
          <w:p w14:paraId="7203FD3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透析机</w:t>
            </w:r>
          </w:p>
        </w:tc>
        <w:tc>
          <w:tcPr>
            <w:tcW w:w="1389" w:type="dxa"/>
            <w:vAlign w:val="center"/>
          </w:tcPr>
          <w:p w14:paraId="5F3D71D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2.5</w:t>
            </w:r>
          </w:p>
        </w:tc>
        <w:tc>
          <w:tcPr>
            <w:tcW w:w="1567" w:type="dxa"/>
            <w:vAlign w:val="center"/>
          </w:tcPr>
          <w:p w14:paraId="5F488343">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50</w:t>
            </w:r>
          </w:p>
        </w:tc>
        <w:tc>
          <w:tcPr>
            <w:tcW w:w="1533" w:type="dxa"/>
            <w:vAlign w:val="center"/>
          </w:tcPr>
          <w:p w14:paraId="63AA66F4">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125</w:t>
            </w:r>
          </w:p>
        </w:tc>
        <w:tc>
          <w:tcPr>
            <w:tcW w:w="1645" w:type="dxa"/>
            <w:vAlign w:val="center"/>
          </w:tcPr>
          <w:p w14:paraId="791DCAEB">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1CAA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78E1033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胃镜室</w:t>
            </w:r>
          </w:p>
        </w:tc>
        <w:tc>
          <w:tcPr>
            <w:tcW w:w="1388" w:type="dxa"/>
            <w:vAlign w:val="center"/>
          </w:tcPr>
          <w:p w14:paraId="1366C72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纯水机</w:t>
            </w:r>
          </w:p>
        </w:tc>
        <w:tc>
          <w:tcPr>
            <w:tcW w:w="1389" w:type="dxa"/>
            <w:vAlign w:val="center"/>
          </w:tcPr>
          <w:p w14:paraId="20C37EF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w:t>
            </w:r>
          </w:p>
        </w:tc>
        <w:tc>
          <w:tcPr>
            <w:tcW w:w="1567" w:type="dxa"/>
            <w:vAlign w:val="center"/>
          </w:tcPr>
          <w:p w14:paraId="7DEFD79C">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2913061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w:t>
            </w:r>
          </w:p>
        </w:tc>
        <w:tc>
          <w:tcPr>
            <w:tcW w:w="1645" w:type="dxa"/>
            <w:vAlign w:val="center"/>
          </w:tcPr>
          <w:p w14:paraId="23FB7E45">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2E2F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60C37E1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胃镜室</w:t>
            </w:r>
          </w:p>
        </w:tc>
        <w:tc>
          <w:tcPr>
            <w:tcW w:w="1388" w:type="dxa"/>
            <w:vAlign w:val="center"/>
          </w:tcPr>
          <w:p w14:paraId="14326B0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清洗机</w:t>
            </w:r>
          </w:p>
        </w:tc>
        <w:tc>
          <w:tcPr>
            <w:tcW w:w="1389" w:type="dxa"/>
            <w:vAlign w:val="center"/>
          </w:tcPr>
          <w:p w14:paraId="0B9AC36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3</w:t>
            </w:r>
          </w:p>
        </w:tc>
        <w:tc>
          <w:tcPr>
            <w:tcW w:w="1567" w:type="dxa"/>
            <w:vAlign w:val="center"/>
          </w:tcPr>
          <w:p w14:paraId="2C468DC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w:t>
            </w:r>
          </w:p>
        </w:tc>
        <w:tc>
          <w:tcPr>
            <w:tcW w:w="1533" w:type="dxa"/>
            <w:vAlign w:val="center"/>
          </w:tcPr>
          <w:p w14:paraId="6AD6A70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15</w:t>
            </w:r>
          </w:p>
        </w:tc>
        <w:tc>
          <w:tcPr>
            <w:tcW w:w="1645" w:type="dxa"/>
            <w:vAlign w:val="center"/>
          </w:tcPr>
          <w:p w14:paraId="39B6487E">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1EFB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3F71A51E">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介入科</w:t>
            </w:r>
          </w:p>
        </w:tc>
        <w:tc>
          <w:tcPr>
            <w:tcW w:w="1388" w:type="dxa"/>
            <w:vAlign w:val="center"/>
          </w:tcPr>
          <w:p w14:paraId="416010D4">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大C</w:t>
            </w:r>
          </w:p>
        </w:tc>
        <w:tc>
          <w:tcPr>
            <w:tcW w:w="1389" w:type="dxa"/>
            <w:vAlign w:val="center"/>
          </w:tcPr>
          <w:p w14:paraId="5978690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175</w:t>
            </w:r>
          </w:p>
        </w:tc>
        <w:tc>
          <w:tcPr>
            <w:tcW w:w="1567" w:type="dxa"/>
            <w:vAlign w:val="center"/>
          </w:tcPr>
          <w:p w14:paraId="5C9CC3C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7A9AC29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175</w:t>
            </w:r>
          </w:p>
        </w:tc>
        <w:tc>
          <w:tcPr>
            <w:tcW w:w="1645" w:type="dxa"/>
            <w:vAlign w:val="center"/>
          </w:tcPr>
          <w:p w14:paraId="4B48CC15">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2#楼</w:t>
            </w:r>
          </w:p>
        </w:tc>
      </w:tr>
      <w:tr w14:paraId="10D6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54B6759B">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介入科</w:t>
            </w:r>
          </w:p>
        </w:tc>
        <w:tc>
          <w:tcPr>
            <w:tcW w:w="1388" w:type="dxa"/>
            <w:vAlign w:val="center"/>
          </w:tcPr>
          <w:p w14:paraId="6425333A">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大C</w:t>
            </w:r>
          </w:p>
        </w:tc>
        <w:tc>
          <w:tcPr>
            <w:tcW w:w="1389" w:type="dxa"/>
            <w:vAlign w:val="center"/>
          </w:tcPr>
          <w:p w14:paraId="28A5F7B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175</w:t>
            </w:r>
          </w:p>
        </w:tc>
        <w:tc>
          <w:tcPr>
            <w:tcW w:w="1567" w:type="dxa"/>
            <w:vAlign w:val="center"/>
          </w:tcPr>
          <w:p w14:paraId="3F770D6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649D78A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175</w:t>
            </w:r>
          </w:p>
        </w:tc>
        <w:tc>
          <w:tcPr>
            <w:tcW w:w="1645" w:type="dxa"/>
            <w:vAlign w:val="center"/>
          </w:tcPr>
          <w:p w14:paraId="47C7AF07">
            <w:pPr>
              <w:pStyle w:val="14"/>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新门诊楼</w:t>
            </w:r>
          </w:p>
        </w:tc>
      </w:tr>
      <w:tr w14:paraId="7591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4B072430">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放射科</w:t>
            </w:r>
          </w:p>
        </w:tc>
        <w:tc>
          <w:tcPr>
            <w:tcW w:w="1388" w:type="dxa"/>
            <w:vAlign w:val="center"/>
          </w:tcPr>
          <w:p w14:paraId="04B595B7">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DR</w:t>
            </w:r>
          </w:p>
        </w:tc>
        <w:tc>
          <w:tcPr>
            <w:tcW w:w="1389" w:type="dxa"/>
            <w:vAlign w:val="center"/>
          </w:tcPr>
          <w:p w14:paraId="21105DC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65</w:t>
            </w:r>
          </w:p>
        </w:tc>
        <w:tc>
          <w:tcPr>
            <w:tcW w:w="1567" w:type="dxa"/>
            <w:vAlign w:val="center"/>
          </w:tcPr>
          <w:p w14:paraId="64AE34E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442A1A3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65</w:t>
            </w:r>
          </w:p>
        </w:tc>
        <w:tc>
          <w:tcPr>
            <w:tcW w:w="1645" w:type="dxa"/>
            <w:vAlign w:val="center"/>
          </w:tcPr>
          <w:p w14:paraId="6590FB8E">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新门诊楼</w:t>
            </w:r>
          </w:p>
        </w:tc>
      </w:tr>
      <w:tr w14:paraId="2DE7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0D48CF30">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放射科</w:t>
            </w:r>
          </w:p>
        </w:tc>
        <w:tc>
          <w:tcPr>
            <w:tcW w:w="1388" w:type="dxa"/>
            <w:vAlign w:val="center"/>
          </w:tcPr>
          <w:p w14:paraId="5F14A44E">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DR</w:t>
            </w:r>
          </w:p>
        </w:tc>
        <w:tc>
          <w:tcPr>
            <w:tcW w:w="1389" w:type="dxa"/>
            <w:vAlign w:val="center"/>
          </w:tcPr>
          <w:p w14:paraId="2466D1E1">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112</w:t>
            </w:r>
          </w:p>
        </w:tc>
        <w:tc>
          <w:tcPr>
            <w:tcW w:w="1567" w:type="dxa"/>
            <w:vAlign w:val="center"/>
          </w:tcPr>
          <w:p w14:paraId="02841F6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7FDC017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112</w:t>
            </w:r>
          </w:p>
        </w:tc>
        <w:tc>
          <w:tcPr>
            <w:tcW w:w="1645" w:type="dxa"/>
            <w:vAlign w:val="center"/>
          </w:tcPr>
          <w:p w14:paraId="0283DC3C">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新门诊楼</w:t>
            </w:r>
          </w:p>
        </w:tc>
      </w:tr>
      <w:tr w14:paraId="46A6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7DDEB56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放射科</w:t>
            </w:r>
          </w:p>
        </w:tc>
        <w:tc>
          <w:tcPr>
            <w:tcW w:w="1388" w:type="dxa"/>
            <w:vAlign w:val="center"/>
          </w:tcPr>
          <w:p w14:paraId="2EF362B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数字胃肠</w:t>
            </w:r>
          </w:p>
        </w:tc>
        <w:tc>
          <w:tcPr>
            <w:tcW w:w="1389" w:type="dxa"/>
            <w:vAlign w:val="center"/>
          </w:tcPr>
          <w:p w14:paraId="55CA2E64">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130</w:t>
            </w:r>
          </w:p>
        </w:tc>
        <w:tc>
          <w:tcPr>
            <w:tcW w:w="1567" w:type="dxa"/>
            <w:vAlign w:val="center"/>
          </w:tcPr>
          <w:p w14:paraId="697BDB6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29614F36">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130</w:t>
            </w:r>
          </w:p>
        </w:tc>
        <w:tc>
          <w:tcPr>
            <w:tcW w:w="1645" w:type="dxa"/>
            <w:vAlign w:val="center"/>
          </w:tcPr>
          <w:p w14:paraId="72CDC395">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新门诊楼</w:t>
            </w:r>
          </w:p>
        </w:tc>
      </w:tr>
      <w:tr w14:paraId="6DA8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65B14FD9">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放射科</w:t>
            </w:r>
          </w:p>
        </w:tc>
        <w:tc>
          <w:tcPr>
            <w:tcW w:w="1388" w:type="dxa"/>
            <w:vAlign w:val="center"/>
          </w:tcPr>
          <w:p w14:paraId="3ED7C3E8">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钼靶机</w:t>
            </w:r>
          </w:p>
        </w:tc>
        <w:tc>
          <w:tcPr>
            <w:tcW w:w="1389" w:type="dxa"/>
            <w:vAlign w:val="center"/>
          </w:tcPr>
          <w:p w14:paraId="665E72F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w:t>
            </w:r>
          </w:p>
        </w:tc>
        <w:tc>
          <w:tcPr>
            <w:tcW w:w="1567" w:type="dxa"/>
            <w:vAlign w:val="center"/>
          </w:tcPr>
          <w:p w14:paraId="7612FA9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7D3EA230">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w:t>
            </w:r>
          </w:p>
        </w:tc>
        <w:tc>
          <w:tcPr>
            <w:tcW w:w="1645" w:type="dxa"/>
            <w:vAlign w:val="center"/>
          </w:tcPr>
          <w:p w14:paraId="39676F44">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新门诊楼</w:t>
            </w:r>
          </w:p>
        </w:tc>
      </w:tr>
      <w:tr w14:paraId="2CC4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vAlign w:val="center"/>
          </w:tcPr>
          <w:p w14:paraId="24A14EAC">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碎石中心</w:t>
            </w:r>
          </w:p>
        </w:tc>
        <w:tc>
          <w:tcPr>
            <w:tcW w:w="1388" w:type="dxa"/>
            <w:vAlign w:val="center"/>
          </w:tcPr>
          <w:p w14:paraId="3D8DF9E3">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碎石机</w:t>
            </w:r>
          </w:p>
        </w:tc>
        <w:tc>
          <w:tcPr>
            <w:tcW w:w="1389" w:type="dxa"/>
            <w:vAlign w:val="center"/>
          </w:tcPr>
          <w:p w14:paraId="4BC13E8D">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w:t>
            </w:r>
          </w:p>
        </w:tc>
        <w:tc>
          <w:tcPr>
            <w:tcW w:w="1567" w:type="dxa"/>
            <w:vAlign w:val="center"/>
          </w:tcPr>
          <w:p w14:paraId="323DA35F">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1</w:t>
            </w:r>
          </w:p>
        </w:tc>
        <w:tc>
          <w:tcPr>
            <w:tcW w:w="1533" w:type="dxa"/>
            <w:vAlign w:val="center"/>
          </w:tcPr>
          <w:p w14:paraId="3B2A0805">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000000"/>
                <w:spacing w:val="-2"/>
                <w:kern w:val="0"/>
                <w:sz w:val="21"/>
                <w:szCs w:val="21"/>
                <w:u w:val="none"/>
                <w:lang w:val="en-US" w:eastAsia="zh-CN" w:bidi="ar"/>
              </w:rPr>
              <w:t>5</w:t>
            </w:r>
          </w:p>
        </w:tc>
        <w:tc>
          <w:tcPr>
            <w:tcW w:w="1645" w:type="dxa"/>
            <w:vAlign w:val="center"/>
          </w:tcPr>
          <w:p w14:paraId="1E4C97A4">
            <w:pPr>
              <w:keepNext w:val="0"/>
              <w:keepLines w:val="0"/>
              <w:widowControl/>
              <w:suppressLineNumbers w:val="0"/>
              <w:jc w:val="center"/>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新门诊楼</w:t>
            </w:r>
          </w:p>
        </w:tc>
      </w:tr>
    </w:tbl>
    <w:p w14:paraId="17F0E830">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bookmarkStart w:id="5" w:name="_Toc12296"/>
      <w:r>
        <w:rPr>
          <w:rFonts w:hint="eastAsia" w:ascii="仿宋" w:hAnsi="仿宋" w:eastAsia="仿宋" w:cs="仿宋"/>
          <w:b w:val="0"/>
          <w:bCs w:val="0"/>
          <w:color w:val="auto"/>
          <w:sz w:val="32"/>
          <w:szCs w:val="32"/>
          <w:lang w:val="en-US" w:eastAsia="zh-CN"/>
        </w:rPr>
        <w:t>4.分体式空调</w:t>
      </w:r>
      <w:bookmarkEnd w:id="5"/>
      <w:r>
        <w:rPr>
          <w:rFonts w:hint="eastAsia" w:ascii="仿宋" w:hAnsi="仿宋" w:eastAsia="仿宋" w:cs="仿宋"/>
          <w:b w:val="0"/>
          <w:bCs w:val="0"/>
          <w:color w:val="auto"/>
          <w:sz w:val="32"/>
          <w:szCs w:val="32"/>
          <w:lang w:val="en-US" w:eastAsia="zh-CN"/>
        </w:rPr>
        <w:t>设备</w:t>
      </w:r>
    </w:p>
    <w:p w14:paraId="2358907E">
      <w:pPr>
        <w:autoSpaceDE w:val="0"/>
        <w:autoSpaceDN w:val="0"/>
        <w:adjustRightInd w:val="0"/>
        <w:ind w:firstLine="316" w:firstLineChars="100"/>
        <w:rPr>
          <w:rFonts w:hint="eastAsia" w:ascii="仿宋" w:hAnsi="仿宋" w:eastAsia="仿宋" w:cs="仿宋"/>
          <w:color w:val="auto"/>
          <w:sz w:val="32"/>
          <w:szCs w:val="32"/>
          <w:lang w:val="en-US" w:eastAsia="zh-CN"/>
        </w:rPr>
      </w:pPr>
      <w:r>
        <w:rPr>
          <w:rFonts w:hint="eastAsia" w:ascii="仿宋" w:hAnsi="仿宋" w:eastAsia="仿宋" w:cs="仿宋"/>
          <w:color w:val="auto"/>
          <w:spacing w:val="-2"/>
          <w:kern w:val="0"/>
          <w:sz w:val="32"/>
          <w:szCs w:val="32"/>
          <w:lang w:val="en-US" w:eastAsia="zh-CN" w:bidi="ar"/>
        </w:rPr>
        <w:t>平顶山市第一人民医院（优越路院区）</w:t>
      </w:r>
      <w:r>
        <w:rPr>
          <w:rFonts w:hint="eastAsia" w:ascii="仿宋" w:hAnsi="仿宋" w:eastAsia="仿宋" w:cs="仿宋"/>
          <w:color w:val="auto"/>
          <w:sz w:val="32"/>
          <w:szCs w:val="32"/>
          <w:lang w:val="en-US" w:eastAsia="zh-CN"/>
        </w:rPr>
        <w:t>的分体空调主要用于新老门诊楼、7#楼、2#楼、3#楼、板房，共526台，具体分体空调情况见下表：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323"/>
        <w:gridCol w:w="3511"/>
      </w:tblGrid>
      <w:tr w14:paraId="5F5B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57" w:type="dxa"/>
          </w:tcPr>
          <w:p w14:paraId="46C04399">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分体空调</w:t>
            </w:r>
          </w:p>
        </w:tc>
        <w:tc>
          <w:tcPr>
            <w:tcW w:w="1857" w:type="dxa"/>
          </w:tcPr>
          <w:p w14:paraId="1C16DF47">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规格</w:t>
            </w:r>
          </w:p>
        </w:tc>
        <w:tc>
          <w:tcPr>
            <w:tcW w:w="1323" w:type="dxa"/>
          </w:tcPr>
          <w:p w14:paraId="6DD35B8D">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数量（台）</w:t>
            </w:r>
          </w:p>
        </w:tc>
        <w:tc>
          <w:tcPr>
            <w:tcW w:w="3511" w:type="dxa"/>
          </w:tcPr>
          <w:p w14:paraId="686F61B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安装位置</w:t>
            </w:r>
          </w:p>
        </w:tc>
      </w:tr>
      <w:tr w14:paraId="0A99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B683414">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柜机</w:t>
            </w:r>
          </w:p>
        </w:tc>
        <w:tc>
          <w:tcPr>
            <w:tcW w:w="1857" w:type="dxa"/>
          </w:tcPr>
          <w:p w14:paraId="5C8DE84B">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3匹及以上</w:t>
            </w:r>
          </w:p>
        </w:tc>
        <w:tc>
          <w:tcPr>
            <w:tcW w:w="1323" w:type="dxa"/>
          </w:tcPr>
          <w:p w14:paraId="6130A29E">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26</w:t>
            </w:r>
          </w:p>
        </w:tc>
        <w:tc>
          <w:tcPr>
            <w:tcW w:w="3511" w:type="dxa"/>
            <w:shd w:val="clear" w:color="auto" w:fill="auto"/>
            <w:vAlign w:val="top"/>
          </w:tcPr>
          <w:p w14:paraId="6A0DCFCB">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老门诊</w:t>
            </w:r>
          </w:p>
        </w:tc>
      </w:tr>
      <w:tr w14:paraId="33CC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75F933A1">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壁挂机</w:t>
            </w:r>
          </w:p>
        </w:tc>
        <w:tc>
          <w:tcPr>
            <w:tcW w:w="1857" w:type="dxa"/>
            <w:shd w:val="clear" w:color="auto" w:fill="auto"/>
            <w:vAlign w:val="top"/>
          </w:tcPr>
          <w:p w14:paraId="4A43B943">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2匹及以下</w:t>
            </w:r>
          </w:p>
        </w:tc>
        <w:tc>
          <w:tcPr>
            <w:tcW w:w="1323" w:type="dxa"/>
            <w:shd w:val="clear" w:color="auto" w:fill="auto"/>
            <w:vAlign w:val="top"/>
          </w:tcPr>
          <w:p w14:paraId="092D89D1">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288</w:t>
            </w:r>
          </w:p>
        </w:tc>
        <w:tc>
          <w:tcPr>
            <w:tcW w:w="3511" w:type="dxa"/>
            <w:shd w:val="clear" w:color="auto" w:fill="auto"/>
            <w:vAlign w:val="top"/>
          </w:tcPr>
          <w:p w14:paraId="58705F2E">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老门诊</w:t>
            </w:r>
          </w:p>
        </w:tc>
      </w:tr>
      <w:tr w14:paraId="2456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2EF538F5">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柜机</w:t>
            </w:r>
          </w:p>
        </w:tc>
        <w:tc>
          <w:tcPr>
            <w:tcW w:w="1857" w:type="dxa"/>
            <w:shd w:val="clear" w:color="auto" w:fill="auto"/>
            <w:vAlign w:val="top"/>
          </w:tcPr>
          <w:p w14:paraId="109EDEB8">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3匹及以上</w:t>
            </w:r>
          </w:p>
        </w:tc>
        <w:tc>
          <w:tcPr>
            <w:tcW w:w="1323" w:type="dxa"/>
            <w:shd w:val="clear" w:color="auto" w:fill="auto"/>
            <w:vAlign w:val="top"/>
          </w:tcPr>
          <w:p w14:paraId="44D54FF2">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4</w:t>
            </w:r>
          </w:p>
        </w:tc>
        <w:tc>
          <w:tcPr>
            <w:tcW w:w="3511" w:type="dxa"/>
            <w:shd w:val="clear" w:color="auto" w:fill="auto"/>
            <w:vAlign w:val="top"/>
          </w:tcPr>
          <w:p w14:paraId="71DA211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新门诊</w:t>
            </w:r>
          </w:p>
        </w:tc>
      </w:tr>
      <w:tr w14:paraId="035F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15C5A2A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壁挂机</w:t>
            </w:r>
          </w:p>
        </w:tc>
        <w:tc>
          <w:tcPr>
            <w:tcW w:w="1857" w:type="dxa"/>
            <w:shd w:val="clear" w:color="auto" w:fill="auto"/>
            <w:vAlign w:val="top"/>
          </w:tcPr>
          <w:p w14:paraId="28BE4EF1">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2匹及以下</w:t>
            </w:r>
          </w:p>
        </w:tc>
        <w:tc>
          <w:tcPr>
            <w:tcW w:w="1323" w:type="dxa"/>
            <w:shd w:val="clear" w:color="auto" w:fill="auto"/>
            <w:vAlign w:val="top"/>
          </w:tcPr>
          <w:p w14:paraId="0608FD98">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13</w:t>
            </w:r>
          </w:p>
        </w:tc>
        <w:tc>
          <w:tcPr>
            <w:tcW w:w="3511" w:type="dxa"/>
            <w:shd w:val="clear" w:color="auto" w:fill="auto"/>
            <w:vAlign w:val="top"/>
          </w:tcPr>
          <w:p w14:paraId="173994C6">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新门诊</w:t>
            </w:r>
          </w:p>
        </w:tc>
      </w:tr>
      <w:tr w14:paraId="0F83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12A1C87D">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柜机</w:t>
            </w:r>
          </w:p>
        </w:tc>
        <w:tc>
          <w:tcPr>
            <w:tcW w:w="1857" w:type="dxa"/>
            <w:shd w:val="clear" w:color="auto" w:fill="auto"/>
            <w:vAlign w:val="top"/>
          </w:tcPr>
          <w:p w14:paraId="6B979FB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3匹及以上</w:t>
            </w:r>
          </w:p>
        </w:tc>
        <w:tc>
          <w:tcPr>
            <w:tcW w:w="1323" w:type="dxa"/>
            <w:shd w:val="clear" w:color="auto" w:fill="auto"/>
            <w:vAlign w:val="top"/>
          </w:tcPr>
          <w:p w14:paraId="7252566B">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17</w:t>
            </w:r>
          </w:p>
        </w:tc>
        <w:tc>
          <w:tcPr>
            <w:tcW w:w="3511" w:type="dxa"/>
            <w:shd w:val="clear" w:color="auto" w:fill="auto"/>
            <w:vAlign w:val="top"/>
          </w:tcPr>
          <w:p w14:paraId="0AA78AF3">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2号楼</w:t>
            </w:r>
          </w:p>
        </w:tc>
      </w:tr>
      <w:tr w14:paraId="277C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2BF3D6C6">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壁挂机</w:t>
            </w:r>
          </w:p>
        </w:tc>
        <w:tc>
          <w:tcPr>
            <w:tcW w:w="1857" w:type="dxa"/>
            <w:shd w:val="clear" w:color="auto" w:fill="auto"/>
            <w:vAlign w:val="top"/>
          </w:tcPr>
          <w:p w14:paraId="5C11AE05">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2匹及以下</w:t>
            </w:r>
          </w:p>
        </w:tc>
        <w:tc>
          <w:tcPr>
            <w:tcW w:w="1323" w:type="dxa"/>
            <w:shd w:val="clear" w:color="auto" w:fill="auto"/>
            <w:vAlign w:val="top"/>
          </w:tcPr>
          <w:p w14:paraId="4A5DA06F">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18</w:t>
            </w:r>
          </w:p>
        </w:tc>
        <w:tc>
          <w:tcPr>
            <w:tcW w:w="3511" w:type="dxa"/>
            <w:shd w:val="clear" w:color="auto" w:fill="auto"/>
            <w:vAlign w:val="top"/>
          </w:tcPr>
          <w:p w14:paraId="085E2EA9">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2号楼</w:t>
            </w:r>
          </w:p>
        </w:tc>
      </w:tr>
      <w:tr w14:paraId="43C9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0B277B0A">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柜机</w:t>
            </w:r>
          </w:p>
        </w:tc>
        <w:tc>
          <w:tcPr>
            <w:tcW w:w="1857" w:type="dxa"/>
            <w:shd w:val="clear" w:color="auto" w:fill="auto"/>
            <w:vAlign w:val="top"/>
          </w:tcPr>
          <w:p w14:paraId="6C348607">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3匹及以上</w:t>
            </w:r>
          </w:p>
        </w:tc>
        <w:tc>
          <w:tcPr>
            <w:tcW w:w="1323" w:type="dxa"/>
            <w:shd w:val="clear" w:color="auto" w:fill="auto"/>
            <w:vAlign w:val="top"/>
          </w:tcPr>
          <w:p w14:paraId="78183AB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21</w:t>
            </w:r>
          </w:p>
        </w:tc>
        <w:tc>
          <w:tcPr>
            <w:tcW w:w="3511" w:type="dxa"/>
            <w:shd w:val="clear" w:color="auto" w:fill="auto"/>
            <w:vAlign w:val="top"/>
          </w:tcPr>
          <w:p w14:paraId="28BAF202">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3号楼</w:t>
            </w:r>
          </w:p>
        </w:tc>
      </w:tr>
      <w:tr w14:paraId="2D22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505DCC97">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壁挂机</w:t>
            </w:r>
          </w:p>
        </w:tc>
        <w:tc>
          <w:tcPr>
            <w:tcW w:w="1857" w:type="dxa"/>
            <w:shd w:val="clear" w:color="auto" w:fill="auto"/>
            <w:vAlign w:val="top"/>
          </w:tcPr>
          <w:p w14:paraId="089BC563">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2匹及以下</w:t>
            </w:r>
          </w:p>
        </w:tc>
        <w:tc>
          <w:tcPr>
            <w:tcW w:w="1323" w:type="dxa"/>
            <w:shd w:val="clear" w:color="auto" w:fill="auto"/>
            <w:vAlign w:val="top"/>
          </w:tcPr>
          <w:p w14:paraId="0CEAE6CE">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19</w:t>
            </w:r>
          </w:p>
        </w:tc>
        <w:tc>
          <w:tcPr>
            <w:tcW w:w="3511" w:type="dxa"/>
            <w:shd w:val="clear" w:color="auto" w:fill="auto"/>
            <w:vAlign w:val="top"/>
          </w:tcPr>
          <w:p w14:paraId="0C2B99F6">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3号楼</w:t>
            </w:r>
          </w:p>
        </w:tc>
      </w:tr>
      <w:tr w14:paraId="6E80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857" w:type="dxa"/>
            <w:shd w:val="clear" w:color="auto" w:fill="auto"/>
            <w:vAlign w:val="top"/>
          </w:tcPr>
          <w:p w14:paraId="0E5DF824">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柜机</w:t>
            </w:r>
          </w:p>
        </w:tc>
        <w:tc>
          <w:tcPr>
            <w:tcW w:w="1857" w:type="dxa"/>
            <w:shd w:val="clear" w:color="auto" w:fill="auto"/>
            <w:vAlign w:val="top"/>
          </w:tcPr>
          <w:p w14:paraId="7EE8E15A">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3匹及以上</w:t>
            </w:r>
          </w:p>
        </w:tc>
        <w:tc>
          <w:tcPr>
            <w:tcW w:w="1323" w:type="dxa"/>
            <w:shd w:val="clear" w:color="auto" w:fill="auto"/>
            <w:vAlign w:val="top"/>
          </w:tcPr>
          <w:p w14:paraId="4F58D686">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4</w:t>
            </w:r>
          </w:p>
        </w:tc>
        <w:tc>
          <w:tcPr>
            <w:tcW w:w="3511" w:type="dxa"/>
            <w:shd w:val="clear" w:color="auto" w:fill="auto"/>
            <w:vAlign w:val="top"/>
          </w:tcPr>
          <w:p w14:paraId="124FFA1F">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7号楼</w:t>
            </w:r>
          </w:p>
        </w:tc>
      </w:tr>
      <w:tr w14:paraId="0D4C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857" w:type="dxa"/>
            <w:shd w:val="clear" w:color="auto" w:fill="auto"/>
            <w:vAlign w:val="top"/>
          </w:tcPr>
          <w:p w14:paraId="77260C64">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壁挂机</w:t>
            </w:r>
          </w:p>
        </w:tc>
        <w:tc>
          <w:tcPr>
            <w:tcW w:w="1857" w:type="dxa"/>
            <w:shd w:val="clear" w:color="auto" w:fill="auto"/>
            <w:vAlign w:val="top"/>
          </w:tcPr>
          <w:p w14:paraId="57A314F9">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2匹及以下</w:t>
            </w:r>
          </w:p>
        </w:tc>
        <w:tc>
          <w:tcPr>
            <w:tcW w:w="1323" w:type="dxa"/>
            <w:shd w:val="clear" w:color="auto" w:fill="auto"/>
            <w:vAlign w:val="top"/>
          </w:tcPr>
          <w:p w14:paraId="7976244D">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89</w:t>
            </w:r>
          </w:p>
        </w:tc>
        <w:tc>
          <w:tcPr>
            <w:tcW w:w="3511" w:type="dxa"/>
            <w:shd w:val="clear" w:color="auto" w:fill="auto"/>
            <w:vAlign w:val="top"/>
          </w:tcPr>
          <w:p w14:paraId="287E9F6F">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7号楼</w:t>
            </w:r>
          </w:p>
        </w:tc>
      </w:tr>
      <w:tr w14:paraId="4FAB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2088968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柜机</w:t>
            </w:r>
          </w:p>
        </w:tc>
        <w:tc>
          <w:tcPr>
            <w:tcW w:w="1857" w:type="dxa"/>
            <w:shd w:val="clear" w:color="auto" w:fill="auto"/>
            <w:vAlign w:val="top"/>
          </w:tcPr>
          <w:p w14:paraId="6FCEEC92">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3匹及以上</w:t>
            </w:r>
          </w:p>
        </w:tc>
        <w:tc>
          <w:tcPr>
            <w:tcW w:w="1323" w:type="dxa"/>
            <w:shd w:val="clear" w:color="auto" w:fill="auto"/>
            <w:vAlign w:val="top"/>
          </w:tcPr>
          <w:p w14:paraId="11C41227">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8</w:t>
            </w:r>
          </w:p>
        </w:tc>
        <w:tc>
          <w:tcPr>
            <w:tcW w:w="3511" w:type="dxa"/>
            <w:shd w:val="clear" w:color="auto" w:fill="auto"/>
            <w:vAlign w:val="top"/>
          </w:tcPr>
          <w:p w14:paraId="49C2E2FA">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板房</w:t>
            </w:r>
          </w:p>
        </w:tc>
      </w:tr>
      <w:tr w14:paraId="0313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40A6FA9C">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壁挂机</w:t>
            </w:r>
          </w:p>
        </w:tc>
        <w:tc>
          <w:tcPr>
            <w:tcW w:w="1857" w:type="dxa"/>
            <w:shd w:val="clear" w:color="auto" w:fill="auto"/>
            <w:vAlign w:val="top"/>
          </w:tcPr>
          <w:p w14:paraId="75D8A0D5">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2匹及以下</w:t>
            </w:r>
          </w:p>
        </w:tc>
        <w:tc>
          <w:tcPr>
            <w:tcW w:w="1323" w:type="dxa"/>
            <w:shd w:val="clear" w:color="auto" w:fill="auto"/>
            <w:vAlign w:val="top"/>
          </w:tcPr>
          <w:p w14:paraId="74190F82">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19</w:t>
            </w:r>
          </w:p>
        </w:tc>
        <w:tc>
          <w:tcPr>
            <w:tcW w:w="3511" w:type="dxa"/>
            <w:shd w:val="clear" w:color="auto" w:fill="auto"/>
            <w:vAlign w:val="top"/>
          </w:tcPr>
          <w:p w14:paraId="2F0D0844">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pacing w:val="0"/>
                <w:sz w:val="21"/>
                <w:szCs w:val="21"/>
                <w:lang w:val="en-US" w:eastAsia="zh-CN" w:bidi="ar-SA"/>
              </w:rPr>
            </w:pPr>
            <w:r>
              <w:rPr>
                <w:rFonts w:hint="eastAsia" w:ascii="仿宋" w:hAnsi="仿宋" w:eastAsia="仿宋" w:cs="仿宋"/>
                <w:b w:val="0"/>
                <w:bCs w:val="0"/>
                <w:color w:val="auto"/>
                <w:sz w:val="21"/>
                <w:szCs w:val="21"/>
                <w:lang w:val="en-US" w:eastAsia="zh-CN"/>
              </w:rPr>
              <w:t>板房</w:t>
            </w:r>
          </w:p>
        </w:tc>
      </w:tr>
      <w:tr w14:paraId="2702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vAlign w:val="top"/>
          </w:tcPr>
          <w:p w14:paraId="3CC3D03B">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合计</w:t>
            </w:r>
          </w:p>
        </w:tc>
        <w:tc>
          <w:tcPr>
            <w:tcW w:w="1857" w:type="dxa"/>
            <w:shd w:val="clear" w:color="auto" w:fill="auto"/>
            <w:vAlign w:val="top"/>
          </w:tcPr>
          <w:p w14:paraId="3EA88625">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p>
        </w:tc>
        <w:tc>
          <w:tcPr>
            <w:tcW w:w="1323" w:type="dxa"/>
            <w:shd w:val="clear" w:color="auto" w:fill="auto"/>
            <w:vAlign w:val="top"/>
          </w:tcPr>
          <w:p w14:paraId="63BFF480">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526</w:t>
            </w:r>
          </w:p>
        </w:tc>
        <w:tc>
          <w:tcPr>
            <w:tcW w:w="3511" w:type="dxa"/>
            <w:shd w:val="clear" w:color="auto" w:fill="auto"/>
            <w:vAlign w:val="top"/>
          </w:tcPr>
          <w:p w14:paraId="4BF5D32D">
            <w:pPr>
              <w:pStyle w:val="14"/>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auto"/>
                <w:sz w:val="21"/>
                <w:szCs w:val="21"/>
                <w:lang w:val="en-US" w:eastAsia="zh-CN"/>
              </w:rPr>
            </w:pPr>
          </w:p>
        </w:tc>
      </w:tr>
    </w:tbl>
    <w:p w14:paraId="414CB383">
      <w:pPr>
        <w:autoSpaceDE w:val="0"/>
        <w:autoSpaceDN w:val="0"/>
        <w:adjustRightInd w:val="0"/>
        <w:rPr>
          <w:rFonts w:hint="eastAsia" w:ascii="仿宋" w:hAnsi="仿宋" w:eastAsia="仿宋" w:cs="仿宋"/>
          <w:color w:val="auto"/>
          <w:sz w:val="24"/>
          <w:szCs w:val="24"/>
          <w:lang w:val="en-US" w:eastAsia="zh-CN"/>
        </w:rPr>
      </w:pPr>
    </w:p>
    <w:p w14:paraId="4D8CF094">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bookmarkStart w:id="6" w:name="_Toc19591"/>
      <w:bookmarkStart w:id="7" w:name="_Toc14807"/>
      <w:r>
        <w:rPr>
          <w:rFonts w:hint="eastAsia" w:ascii="仿宋" w:hAnsi="仿宋" w:eastAsia="仿宋" w:cs="仿宋"/>
          <w:b w:val="0"/>
          <w:bCs w:val="0"/>
          <w:color w:val="auto"/>
          <w:sz w:val="32"/>
          <w:szCs w:val="32"/>
          <w:lang w:val="en-US" w:eastAsia="zh-CN"/>
        </w:rPr>
        <w:t>5.照明</w:t>
      </w:r>
      <w:bookmarkEnd w:id="6"/>
      <w:bookmarkEnd w:id="7"/>
      <w:r>
        <w:rPr>
          <w:rFonts w:hint="eastAsia" w:ascii="仿宋" w:hAnsi="仿宋" w:eastAsia="仿宋" w:cs="仿宋"/>
          <w:b w:val="0"/>
          <w:bCs w:val="0"/>
          <w:color w:val="auto"/>
          <w:sz w:val="32"/>
          <w:szCs w:val="32"/>
          <w:lang w:val="en-US" w:eastAsia="zh-CN"/>
        </w:rPr>
        <w:t>灯具</w:t>
      </w:r>
    </w:p>
    <w:p w14:paraId="4D511DE4">
      <w:pPr>
        <w:pStyle w:val="9"/>
        <w:spacing w:line="360" w:lineRule="auto"/>
        <w:ind w:firstLine="632"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2"/>
          <w:kern w:val="0"/>
          <w:sz w:val="32"/>
          <w:szCs w:val="32"/>
          <w:lang w:val="en-US" w:eastAsia="zh-CN" w:bidi="ar"/>
        </w:rPr>
        <w:t>平顶山市第一人民医院（优越路院区）</w:t>
      </w:r>
      <w:r>
        <w:rPr>
          <w:rFonts w:hint="eastAsia" w:ascii="仿宋" w:hAnsi="仿宋" w:eastAsia="仿宋" w:cs="仿宋"/>
          <w:color w:val="auto"/>
          <w:sz w:val="32"/>
          <w:szCs w:val="32"/>
          <w:lang w:val="en-US" w:eastAsia="zh-CN"/>
        </w:rPr>
        <w:t>的灯具主要为面板灯，吸顶灯及灯管，灯具总数为10598台</w:t>
      </w:r>
      <w:r>
        <w:rPr>
          <w:rFonts w:hint="eastAsia" w:ascii="仿宋" w:hAnsi="仿宋" w:eastAsia="仿宋" w:cs="仿宋"/>
          <w:color w:val="auto"/>
          <w:sz w:val="32"/>
          <w:szCs w:val="32"/>
          <w:highlight w:val="none"/>
          <w:lang w:val="en-US" w:eastAsia="zh-CN"/>
        </w:rPr>
        <w:t>，医院灯具情况见下表</w:t>
      </w:r>
      <w:r>
        <w:rPr>
          <w:rFonts w:hint="eastAsia" w:ascii="仿宋" w:hAnsi="仿宋" w:eastAsia="仿宋" w:cs="仿宋"/>
          <w:color w:val="auto"/>
          <w:sz w:val="24"/>
          <w:szCs w:val="24"/>
          <w:highlight w:val="none"/>
          <w:lang w:val="en-US" w:eastAsia="zh-CN"/>
        </w:rPr>
        <w:t>：</w:t>
      </w:r>
    </w:p>
    <w:tbl>
      <w:tblPr>
        <w:tblStyle w:val="17"/>
        <w:tblW w:w="85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2810"/>
        <w:gridCol w:w="1700"/>
        <w:gridCol w:w="1723"/>
        <w:gridCol w:w="1277"/>
      </w:tblGrid>
      <w:tr w14:paraId="5032D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AE5B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序号</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F688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照明灯具</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47E2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型号</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FB78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功率（W）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80F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数量（盏）</w:t>
            </w:r>
          </w:p>
        </w:tc>
      </w:tr>
      <w:tr w14:paraId="4A4A0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575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6BB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面板灯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1D40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600*1200</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4E07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E3B2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726</w:t>
            </w:r>
          </w:p>
        </w:tc>
      </w:tr>
      <w:tr w14:paraId="163D1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3287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F54D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面板灯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3BF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300*600</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DCE4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AC6E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894</w:t>
            </w:r>
          </w:p>
        </w:tc>
      </w:tr>
      <w:tr w14:paraId="5EA0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102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D1E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面板灯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C2C3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600*600</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45A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AB67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874</w:t>
            </w:r>
          </w:p>
        </w:tc>
      </w:tr>
      <w:tr w14:paraId="3C28F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FB6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4</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40A4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工厂灯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3E7E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80A3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50W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1DF6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24</w:t>
            </w:r>
          </w:p>
        </w:tc>
      </w:tr>
      <w:tr w14:paraId="1DB81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8EA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6CC5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防水防尘灯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C63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吸顶LED</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8C3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DFE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192</w:t>
            </w:r>
          </w:p>
        </w:tc>
      </w:tr>
      <w:tr w14:paraId="7B416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380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24B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单管荧光灯光灯管</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9F7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LED灯</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1E7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6546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372</w:t>
            </w:r>
          </w:p>
        </w:tc>
      </w:tr>
      <w:tr w14:paraId="37E60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90E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CC0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双管荧光灯光灯管</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BFB0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LED灯</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F6B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60D1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26</w:t>
            </w:r>
          </w:p>
        </w:tc>
      </w:tr>
      <w:tr w14:paraId="5EA62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02BD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8</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CEC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圆形吸顶灯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253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LED灯</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38C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7E7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60</w:t>
            </w:r>
          </w:p>
        </w:tc>
      </w:tr>
      <w:tr w14:paraId="0D4CF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0A87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9</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68D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方形格栅灯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270A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三基色T8型</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8F2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4DB6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2331</w:t>
            </w:r>
          </w:p>
        </w:tc>
      </w:tr>
      <w:tr w14:paraId="33314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653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10</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7528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单管荧光灯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A6A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三基色T8型</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229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36w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F03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18</w:t>
            </w:r>
          </w:p>
        </w:tc>
      </w:tr>
      <w:tr w14:paraId="1611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2408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11</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E4A6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双管荧光灯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1071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三基色T8型</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9FD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36w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1A0B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47</w:t>
            </w:r>
          </w:p>
        </w:tc>
      </w:tr>
      <w:tr w14:paraId="5CF0C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AFB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12</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8D2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吸顶灯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902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吸顶灯</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ABB0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40w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9C45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116</w:t>
            </w:r>
          </w:p>
        </w:tc>
      </w:tr>
      <w:tr w14:paraId="322D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4E8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13</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B9C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球形灯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8A7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吸顶灯</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544D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40W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075D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269</w:t>
            </w:r>
          </w:p>
        </w:tc>
      </w:tr>
      <w:tr w14:paraId="34EC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EC4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14</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8CA2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楼层指示灯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5B4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楼层指示灯</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0B7B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D296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53</w:t>
            </w:r>
          </w:p>
        </w:tc>
      </w:tr>
      <w:tr w14:paraId="5CFEE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A28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15</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B1C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LED节能灯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E74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600*600mm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73F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15W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8B45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1246</w:t>
            </w:r>
          </w:p>
        </w:tc>
      </w:tr>
      <w:tr w14:paraId="09B78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4765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16</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2E1A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LED节能灯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4F9B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600*600mm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B89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748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612</w:t>
            </w:r>
          </w:p>
        </w:tc>
      </w:tr>
      <w:tr w14:paraId="4017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C5A6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17</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9B5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LED节能灯（带蓄电池）</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A6FF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300*1200mm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5E4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3C5F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264</w:t>
            </w:r>
          </w:p>
        </w:tc>
      </w:tr>
      <w:tr w14:paraId="33CEC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477C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18</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FD5E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LED节能灯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FA4F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300*1200mm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030D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DFDD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312</w:t>
            </w:r>
          </w:p>
        </w:tc>
      </w:tr>
      <w:tr w14:paraId="07B71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6A91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19</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ECE7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LED卫生间节能灯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E87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300*300mm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AEF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14W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8108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306</w:t>
            </w:r>
          </w:p>
        </w:tc>
      </w:tr>
      <w:tr w14:paraId="7D35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00FA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20</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E19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LED声控吸顶灯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88EF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Φ500mm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7353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14W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945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128</w:t>
            </w:r>
          </w:p>
        </w:tc>
      </w:tr>
      <w:tr w14:paraId="4494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CB7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21</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864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LED节能灯</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443B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600*600mm</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DE65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18W</w:t>
            </w: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F4D0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1728</w:t>
            </w:r>
          </w:p>
        </w:tc>
      </w:tr>
      <w:tr w14:paraId="6FECA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05778">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r>
              <w:rPr>
                <w:rFonts w:hint="eastAsia" w:ascii="仿宋" w:hAnsi="仿宋" w:eastAsia="仿宋" w:cs="仿宋"/>
                <w:i w:val="0"/>
                <w:iCs w:val="0"/>
                <w:color w:val="000000"/>
                <w:spacing w:val="-2"/>
                <w:kern w:val="0"/>
                <w:sz w:val="21"/>
                <w:szCs w:val="21"/>
                <w:u w:val="none"/>
                <w:lang w:val="en-US" w:eastAsia="zh-CN" w:bidi="ar"/>
              </w:rPr>
              <w:t>22</w:t>
            </w:r>
          </w:p>
        </w:tc>
        <w:tc>
          <w:tcPr>
            <w:tcW w:w="2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41F78">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r>
              <w:rPr>
                <w:rFonts w:hint="eastAsia" w:ascii="仿宋" w:hAnsi="仿宋" w:eastAsia="仿宋" w:cs="仿宋"/>
                <w:i w:val="0"/>
                <w:iCs w:val="0"/>
                <w:color w:val="000000"/>
                <w:spacing w:val="-2"/>
                <w:kern w:val="0"/>
                <w:sz w:val="21"/>
                <w:szCs w:val="21"/>
                <w:u w:val="none"/>
                <w:lang w:val="en-US" w:eastAsia="zh-CN" w:bidi="ar"/>
              </w:rPr>
              <w:t>合计</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38B34">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4DD21">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c>
          <w:tcPr>
            <w:tcW w:w="12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8FC0F">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r>
              <w:rPr>
                <w:rFonts w:hint="eastAsia" w:ascii="仿宋" w:hAnsi="仿宋" w:eastAsia="仿宋" w:cs="仿宋"/>
                <w:i w:val="0"/>
                <w:iCs w:val="0"/>
                <w:color w:val="000000"/>
                <w:spacing w:val="-2"/>
                <w:kern w:val="0"/>
                <w:sz w:val="21"/>
                <w:szCs w:val="21"/>
                <w:u w:val="none"/>
                <w:lang w:val="en-US" w:eastAsia="zh-CN" w:bidi="ar"/>
              </w:rPr>
              <w:t>10598</w:t>
            </w:r>
          </w:p>
        </w:tc>
      </w:tr>
    </w:tbl>
    <w:p w14:paraId="277BE5F2">
      <w:pPr>
        <w:pStyle w:val="4"/>
        <w:numPr>
          <w:ilvl w:val="0"/>
          <w:numId w:val="0"/>
        </w:numPr>
        <w:spacing w:before="120" w:beforeLines="50" w:after="120" w:afterLines="50"/>
        <w:ind w:leftChars="0"/>
        <w:rPr>
          <w:rFonts w:hint="eastAsia" w:ascii="仿宋" w:hAnsi="仿宋" w:eastAsia="仿宋" w:cs="仿宋"/>
          <w:b w:val="0"/>
          <w:bCs w:val="0"/>
          <w:color w:val="auto"/>
          <w:sz w:val="32"/>
          <w:szCs w:val="32"/>
          <w:lang w:val="en-US" w:eastAsia="zh-CN"/>
        </w:rPr>
      </w:pPr>
      <w:bookmarkStart w:id="8" w:name="_Toc26558"/>
      <w:r>
        <w:rPr>
          <w:rFonts w:hint="eastAsia" w:ascii="仿宋" w:hAnsi="仿宋" w:eastAsia="仿宋" w:cs="仿宋"/>
          <w:b w:val="0"/>
          <w:bCs w:val="0"/>
          <w:color w:val="auto"/>
          <w:sz w:val="32"/>
          <w:szCs w:val="32"/>
          <w:lang w:val="en-US" w:eastAsia="zh-CN"/>
        </w:rPr>
        <w:t>6.</w:t>
      </w:r>
      <w:bookmarkEnd w:id="8"/>
      <w:r>
        <w:rPr>
          <w:rFonts w:hint="eastAsia" w:ascii="仿宋" w:hAnsi="仿宋" w:eastAsia="仿宋" w:cs="仿宋"/>
          <w:b w:val="0"/>
          <w:bCs w:val="0"/>
          <w:color w:val="auto"/>
          <w:sz w:val="32"/>
          <w:szCs w:val="32"/>
          <w:lang w:val="en-US" w:eastAsia="zh-CN"/>
        </w:rPr>
        <w:t>用水器具</w:t>
      </w:r>
    </w:p>
    <w:p w14:paraId="6E2ED860">
      <w:pPr>
        <w:pStyle w:val="9"/>
        <w:spacing w:line="360" w:lineRule="auto"/>
        <w:ind w:firstLine="632"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pacing w:val="-2"/>
          <w:kern w:val="0"/>
          <w:sz w:val="32"/>
          <w:szCs w:val="32"/>
          <w:lang w:val="en-US" w:eastAsia="zh-CN" w:bidi="ar"/>
        </w:rPr>
        <w:t>平顶山市第一人民医院（优越路院区）</w:t>
      </w:r>
      <w:r>
        <w:rPr>
          <w:rFonts w:hint="eastAsia" w:ascii="仿宋" w:hAnsi="仿宋" w:eastAsia="仿宋" w:cs="仿宋"/>
          <w:color w:val="auto"/>
          <w:sz w:val="32"/>
          <w:szCs w:val="32"/>
          <w:lang w:val="en-US" w:eastAsia="zh-CN"/>
        </w:rPr>
        <w:t>的用水器具主要有水龙头、蹲便器、淋浴头、脚踏阀、小便感应器</w:t>
      </w:r>
      <w:r>
        <w:rPr>
          <w:rFonts w:hint="eastAsia" w:ascii="仿宋" w:hAnsi="仿宋" w:eastAsia="仿宋" w:cs="仿宋"/>
          <w:color w:val="auto"/>
          <w:sz w:val="32"/>
          <w:szCs w:val="32"/>
          <w:highlight w:val="none"/>
          <w:lang w:val="en-US" w:eastAsia="zh-CN"/>
        </w:rPr>
        <w:t>，医院用水器具明细见下表：</w:t>
      </w:r>
    </w:p>
    <w:tbl>
      <w:tblPr>
        <w:tblStyle w:val="17"/>
        <w:tblW w:w="886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690"/>
        <w:gridCol w:w="2589"/>
        <w:gridCol w:w="1722"/>
        <w:gridCol w:w="1865"/>
      </w:tblGrid>
      <w:tr w14:paraId="3D21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14A2E0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楼栋</w:t>
            </w:r>
          </w:p>
        </w:tc>
        <w:tc>
          <w:tcPr>
            <w:tcW w:w="2589" w:type="dxa"/>
            <w:tcBorders>
              <w:tl2br w:val="nil"/>
              <w:tr2bl w:val="nil"/>
            </w:tcBorders>
            <w:shd w:val="clear" w:color="auto" w:fill="auto"/>
            <w:noWrap/>
            <w:vAlign w:val="center"/>
          </w:tcPr>
          <w:p w14:paraId="3C68DD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洁具名称</w:t>
            </w:r>
          </w:p>
        </w:tc>
        <w:tc>
          <w:tcPr>
            <w:tcW w:w="1722" w:type="dxa"/>
            <w:tcBorders>
              <w:tl2br w:val="nil"/>
              <w:tr2bl w:val="nil"/>
            </w:tcBorders>
            <w:shd w:val="clear" w:color="auto" w:fill="auto"/>
            <w:noWrap/>
            <w:vAlign w:val="center"/>
          </w:tcPr>
          <w:p w14:paraId="06CB428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数量（个）</w:t>
            </w:r>
          </w:p>
        </w:tc>
        <w:tc>
          <w:tcPr>
            <w:tcW w:w="1865" w:type="dxa"/>
            <w:tcBorders>
              <w:tl2br w:val="nil"/>
              <w:tr2bl w:val="nil"/>
            </w:tcBorders>
            <w:shd w:val="clear" w:color="auto" w:fill="auto"/>
            <w:noWrap/>
            <w:vAlign w:val="center"/>
          </w:tcPr>
          <w:p w14:paraId="383CF6EE">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r>
              <w:rPr>
                <w:rFonts w:hint="eastAsia" w:ascii="仿宋" w:hAnsi="仿宋" w:eastAsia="仿宋" w:cs="仿宋"/>
                <w:i w:val="0"/>
                <w:iCs w:val="0"/>
                <w:color w:val="000000"/>
                <w:spacing w:val="-2"/>
                <w:kern w:val="0"/>
                <w:sz w:val="21"/>
                <w:szCs w:val="21"/>
                <w:u w:val="none"/>
                <w:lang w:val="en-US" w:eastAsia="zh-CN" w:bidi="ar"/>
              </w:rPr>
              <w:t>备注</w:t>
            </w:r>
          </w:p>
        </w:tc>
      </w:tr>
      <w:tr w14:paraId="7ACE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798248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3号楼</w:t>
            </w:r>
          </w:p>
        </w:tc>
        <w:tc>
          <w:tcPr>
            <w:tcW w:w="2589" w:type="dxa"/>
            <w:tcBorders>
              <w:tl2br w:val="nil"/>
              <w:tr2bl w:val="nil"/>
            </w:tcBorders>
            <w:shd w:val="clear" w:color="auto" w:fill="auto"/>
            <w:noWrap/>
            <w:vAlign w:val="center"/>
          </w:tcPr>
          <w:p w14:paraId="42F36C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水龙头</w:t>
            </w:r>
          </w:p>
        </w:tc>
        <w:tc>
          <w:tcPr>
            <w:tcW w:w="1722" w:type="dxa"/>
            <w:tcBorders>
              <w:tl2br w:val="nil"/>
              <w:tr2bl w:val="nil"/>
            </w:tcBorders>
            <w:shd w:val="clear" w:color="auto" w:fill="auto"/>
            <w:noWrap/>
            <w:vAlign w:val="center"/>
          </w:tcPr>
          <w:p w14:paraId="2FB174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510</w:t>
            </w:r>
          </w:p>
        </w:tc>
        <w:tc>
          <w:tcPr>
            <w:tcW w:w="1865" w:type="dxa"/>
            <w:tcBorders>
              <w:tl2br w:val="nil"/>
              <w:tr2bl w:val="nil"/>
            </w:tcBorders>
            <w:shd w:val="clear" w:color="auto" w:fill="auto"/>
            <w:noWrap/>
            <w:vAlign w:val="center"/>
          </w:tcPr>
          <w:p w14:paraId="69BF2227">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5509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54867F1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3号楼</w:t>
            </w:r>
          </w:p>
        </w:tc>
        <w:tc>
          <w:tcPr>
            <w:tcW w:w="2589" w:type="dxa"/>
            <w:tcBorders>
              <w:tl2br w:val="nil"/>
              <w:tr2bl w:val="nil"/>
            </w:tcBorders>
            <w:shd w:val="clear" w:color="auto" w:fill="auto"/>
            <w:noWrap/>
            <w:vAlign w:val="center"/>
          </w:tcPr>
          <w:p w14:paraId="6649EE6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蹲便</w:t>
            </w:r>
          </w:p>
        </w:tc>
        <w:tc>
          <w:tcPr>
            <w:tcW w:w="1722" w:type="dxa"/>
            <w:tcBorders>
              <w:tl2br w:val="nil"/>
              <w:tr2bl w:val="nil"/>
            </w:tcBorders>
            <w:shd w:val="clear" w:color="auto" w:fill="auto"/>
            <w:noWrap/>
            <w:vAlign w:val="center"/>
          </w:tcPr>
          <w:p w14:paraId="234230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355</w:t>
            </w:r>
          </w:p>
        </w:tc>
        <w:tc>
          <w:tcPr>
            <w:tcW w:w="1865" w:type="dxa"/>
            <w:tcBorders>
              <w:tl2br w:val="nil"/>
              <w:tr2bl w:val="nil"/>
            </w:tcBorders>
            <w:shd w:val="clear" w:color="auto" w:fill="auto"/>
            <w:noWrap/>
            <w:vAlign w:val="center"/>
          </w:tcPr>
          <w:p w14:paraId="5368CF1E">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3D16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492150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3号楼</w:t>
            </w:r>
          </w:p>
        </w:tc>
        <w:tc>
          <w:tcPr>
            <w:tcW w:w="2589" w:type="dxa"/>
            <w:tcBorders>
              <w:tl2br w:val="nil"/>
              <w:tr2bl w:val="nil"/>
            </w:tcBorders>
            <w:shd w:val="clear" w:color="auto" w:fill="auto"/>
            <w:noWrap/>
            <w:vAlign w:val="center"/>
          </w:tcPr>
          <w:p w14:paraId="3DFBCC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脚踏阀</w:t>
            </w:r>
          </w:p>
        </w:tc>
        <w:tc>
          <w:tcPr>
            <w:tcW w:w="1722" w:type="dxa"/>
            <w:tcBorders>
              <w:tl2br w:val="nil"/>
              <w:tr2bl w:val="nil"/>
            </w:tcBorders>
            <w:shd w:val="clear" w:color="auto" w:fill="auto"/>
            <w:noWrap/>
            <w:vAlign w:val="center"/>
          </w:tcPr>
          <w:p w14:paraId="480B69E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355</w:t>
            </w:r>
          </w:p>
        </w:tc>
        <w:tc>
          <w:tcPr>
            <w:tcW w:w="1865" w:type="dxa"/>
            <w:tcBorders>
              <w:tl2br w:val="nil"/>
              <w:tr2bl w:val="nil"/>
            </w:tcBorders>
            <w:shd w:val="clear" w:color="auto" w:fill="auto"/>
            <w:noWrap/>
            <w:vAlign w:val="center"/>
          </w:tcPr>
          <w:p w14:paraId="70E04338">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0BE4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5207553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3号楼</w:t>
            </w:r>
          </w:p>
        </w:tc>
        <w:tc>
          <w:tcPr>
            <w:tcW w:w="2589" w:type="dxa"/>
            <w:tcBorders>
              <w:tl2br w:val="nil"/>
              <w:tr2bl w:val="nil"/>
            </w:tcBorders>
            <w:shd w:val="clear" w:color="auto" w:fill="auto"/>
            <w:noWrap/>
            <w:vAlign w:val="center"/>
          </w:tcPr>
          <w:p w14:paraId="3798CD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淋浴头</w:t>
            </w:r>
          </w:p>
        </w:tc>
        <w:tc>
          <w:tcPr>
            <w:tcW w:w="1722" w:type="dxa"/>
            <w:tcBorders>
              <w:tl2br w:val="nil"/>
              <w:tr2bl w:val="nil"/>
            </w:tcBorders>
            <w:shd w:val="clear" w:color="auto" w:fill="auto"/>
            <w:noWrap/>
            <w:vAlign w:val="center"/>
          </w:tcPr>
          <w:p w14:paraId="0AE8FE2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342</w:t>
            </w:r>
          </w:p>
        </w:tc>
        <w:tc>
          <w:tcPr>
            <w:tcW w:w="1865" w:type="dxa"/>
            <w:tcBorders>
              <w:tl2br w:val="nil"/>
              <w:tr2bl w:val="nil"/>
            </w:tcBorders>
            <w:shd w:val="clear" w:color="auto" w:fill="auto"/>
            <w:noWrap/>
            <w:vAlign w:val="center"/>
          </w:tcPr>
          <w:p w14:paraId="78C8B397">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3EF8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256E0B9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3号楼</w:t>
            </w:r>
          </w:p>
        </w:tc>
        <w:tc>
          <w:tcPr>
            <w:tcW w:w="2589" w:type="dxa"/>
            <w:tcBorders>
              <w:tl2br w:val="nil"/>
              <w:tr2bl w:val="nil"/>
            </w:tcBorders>
            <w:shd w:val="clear" w:color="auto" w:fill="auto"/>
            <w:noWrap/>
            <w:vAlign w:val="center"/>
          </w:tcPr>
          <w:p w14:paraId="7D55423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小便感应器（手压）</w:t>
            </w:r>
          </w:p>
        </w:tc>
        <w:tc>
          <w:tcPr>
            <w:tcW w:w="1722" w:type="dxa"/>
            <w:tcBorders>
              <w:tl2br w:val="nil"/>
              <w:tr2bl w:val="nil"/>
            </w:tcBorders>
            <w:shd w:val="clear" w:color="auto" w:fill="auto"/>
            <w:noWrap/>
            <w:vAlign w:val="center"/>
          </w:tcPr>
          <w:p w14:paraId="7B3C2E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35</w:t>
            </w:r>
          </w:p>
        </w:tc>
        <w:tc>
          <w:tcPr>
            <w:tcW w:w="1865" w:type="dxa"/>
            <w:tcBorders>
              <w:tl2br w:val="nil"/>
              <w:tr2bl w:val="nil"/>
            </w:tcBorders>
            <w:shd w:val="clear" w:color="auto" w:fill="auto"/>
            <w:noWrap/>
            <w:vAlign w:val="center"/>
          </w:tcPr>
          <w:p w14:paraId="4F705A8A">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7D7B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5E5B505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7号楼</w:t>
            </w:r>
          </w:p>
        </w:tc>
        <w:tc>
          <w:tcPr>
            <w:tcW w:w="2589" w:type="dxa"/>
            <w:tcBorders>
              <w:tl2br w:val="nil"/>
              <w:tr2bl w:val="nil"/>
            </w:tcBorders>
            <w:shd w:val="clear" w:color="auto" w:fill="auto"/>
            <w:noWrap/>
            <w:vAlign w:val="center"/>
          </w:tcPr>
          <w:p w14:paraId="07DAF5A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水龙头</w:t>
            </w:r>
          </w:p>
        </w:tc>
        <w:tc>
          <w:tcPr>
            <w:tcW w:w="1722" w:type="dxa"/>
            <w:tcBorders>
              <w:tl2br w:val="nil"/>
              <w:tr2bl w:val="nil"/>
            </w:tcBorders>
            <w:shd w:val="clear" w:color="auto" w:fill="auto"/>
            <w:noWrap/>
            <w:vAlign w:val="center"/>
          </w:tcPr>
          <w:p w14:paraId="332EFB4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110</w:t>
            </w:r>
          </w:p>
        </w:tc>
        <w:tc>
          <w:tcPr>
            <w:tcW w:w="1865" w:type="dxa"/>
            <w:tcBorders>
              <w:tl2br w:val="nil"/>
              <w:tr2bl w:val="nil"/>
            </w:tcBorders>
            <w:shd w:val="clear" w:color="auto" w:fill="auto"/>
            <w:noWrap/>
            <w:vAlign w:val="center"/>
          </w:tcPr>
          <w:p w14:paraId="683FC15D">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0A05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8DB4F7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7号楼</w:t>
            </w:r>
          </w:p>
        </w:tc>
        <w:tc>
          <w:tcPr>
            <w:tcW w:w="2589" w:type="dxa"/>
            <w:tcBorders>
              <w:tl2br w:val="nil"/>
              <w:tr2bl w:val="nil"/>
            </w:tcBorders>
            <w:shd w:val="clear" w:color="auto" w:fill="auto"/>
            <w:noWrap/>
            <w:vAlign w:val="center"/>
          </w:tcPr>
          <w:p w14:paraId="54F713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蹲便</w:t>
            </w:r>
          </w:p>
        </w:tc>
        <w:tc>
          <w:tcPr>
            <w:tcW w:w="1722" w:type="dxa"/>
            <w:tcBorders>
              <w:tl2br w:val="nil"/>
              <w:tr2bl w:val="nil"/>
            </w:tcBorders>
            <w:shd w:val="clear" w:color="auto" w:fill="auto"/>
            <w:noWrap/>
            <w:vAlign w:val="center"/>
          </w:tcPr>
          <w:p w14:paraId="36690DF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72</w:t>
            </w:r>
          </w:p>
        </w:tc>
        <w:tc>
          <w:tcPr>
            <w:tcW w:w="1865" w:type="dxa"/>
            <w:tcBorders>
              <w:tl2br w:val="nil"/>
              <w:tr2bl w:val="nil"/>
            </w:tcBorders>
            <w:shd w:val="clear" w:color="auto" w:fill="auto"/>
            <w:noWrap/>
            <w:vAlign w:val="center"/>
          </w:tcPr>
          <w:p w14:paraId="15048AE5">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02FA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DDB39B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7号楼</w:t>
            </w:r>
          </w:p>
        </w:tc>
        <w:tc>
          <w:tcPr>
            <w:tcW w:w="2589" w:type="dxa"/>
            <w:tcBorders>
              <w:tl2br w:val="nil"/>
              <w:tr2bl w:val="nil"/>
            </w:tcBorders>
            <w:shd w:val="clear" w:color="auto" w:fill="auto"/>
            <w:noWrap/>
            <w:vAlign w:val="center"/>
          </w:tcPr>
          <w:p w14:paraId="4E67404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脚踏阀</w:t>
            </w:r>
          </w:p>
        </w:tc>
        <w:tc>
          <w:tcPr>
            <w:tcW w:w="1722" w:type="dxa"/>
            <w:tcBorders>
              <w:tl2br w:val="nil"/>
              <w:tr2bl w:val="nil"/>
            </w:tcBorders>
            <w:shd w:val="clear" w:color="auto" w:fill="auto"/>
            <w:noWrap/>
            <w:vAlign w:val="center"/>
          </w:tcPr>
          <w:p w14:paraId="2DA329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72</w:t>
            </w:r>
          </w:p>
        </w:tc>
        <w:tc>
          <w:tcPr>
            <w:tcW w:w="1865" w:type="dxa"/>
            <w:tcBorders>
              <w:tl2br w:val="nil"/>
              <w:tr2bl w:val="nil"/>
            </w:tcBorders>
            <w:shd w:val="clear" w:color="auto" w:fill="auto"/>
            <w:noWrap/>
            <w:vAlign w:val="center"/>
          </w:tcPr>
          <w:p w14:paraId="06236677">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4165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17F5AE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7号楼</w:t>
            </w:r>
          </w:p>
        </w:tc>
        <w:tc>
          <w:tcPr>
            <w:tcW w:w="2589" w:type="dxa"/>
            <w:tcBorders>
              <w:tl2br w:val="nil"/>
              <w:tr2bl w:val="nil"/>
            </w:tcBorders>
            <w:shd w:val="clear" w:color="auto" w:fill="auto"/>
            <w:noWrap/>
            <w:vAlign w:val="center"/>
          </w:tcPr>
          <w:p w14:paraId="1CF77FC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小便器（手压）</w:t>
            </w:r>
          </w:p>
        </w:tc>
        <w:tc>
          <w:tcPr>
            <w:tcW w:w="1722" w:type="dxa"/>
            <w:tcBorders>
              <w:tl2br w:val="nil"/>
              <w:tr2bl w:val="nil"/>
            </w:tcBorders>
            <w:shd w:val="clear" w:color="auto" w:fill="auto"/>
            <w:noWrap/>
            <w:vAlign w:val="center"/>
          </w:tcPr>
          <w:p w14:paraId="20E18BC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6</w:t>
            </w:r>
          </w:p>
        </w:tc>
        <w:tc>
          <w:tcPr>
            <w:tcW w:w="1865" w:type="dxa"/>
            <w:tcBorders>
              <w:tl2br w:val="nil"/>
              <w:tr2bl w:val="nil"/>
            </w:tcBorders>
            <w:shd w:val="clear" w:color="auto" w:fill="auto"/>
            <w:noWrap/>
            <w:vAlign w:val="center"/>
          </w:tcPr>
          <w:p w14:paraId="292C11E7">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7614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45B033F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老门诊楼</w:t>
            </w:r>
          </w:p>
        </w:tc>
        <w:tc>
          <w:tcPr>
            <w:tcW w:w="2589" w:type="dxa"/>
            <w:tcBorders>
              <w:tl2br w:val="nil"/>
              <w:tr2bl w:val="nil"/>
            </w:tcBorders>
            <w:shd w:val="clear" w:color="auto" w:fill="auto"/>
            <w:noWrap/>
            <w:vAlign w:val="center"/>
          </w:tcPr>
          <w:p w14:paraId="1EC54A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水龙头</w:t>
            </w:r>
          </w:p>
        </w:tc>
        <w:tc>
          <w:tcPr>
            <w:tcW w:w="1722" w:type="dxa"/>
            <w:tcBorders>
              <w:tl2br w:val="nil"/>
              <w:tr2bl w:val="nil"/>
            </w:tcBorders>
            <w:shd w:val="clear" w:color="auto" w:fill="auto"/>
            <w:noWrap/>
            <w:vAlign w:val="center"/>
          </w:tcPr>
          <w:p w14:paraId="4F905A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370</w:t>
            </w:r>
          </w:p>
        </w:tc>
        <w:tc>
          <w:tcPr>
            <w:tcW w:w="1865" w:type="dxa"/>
            <w:tcBorders>
              <w:tl2br w:val="nil"/>
              <w:tr2bl w:val="nil"/>
            </w:tcBorders>
            <w:shd w:val="clear" w:color="auto" w:fill="auto"/>
            <w:noWrap/>
            <w:vAlign w:val="center"/>
          </w:tcPr>
          <w:p w14:paraId="6E8ABBBE">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03B9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524E866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老门诊楼</w:t>
            </w:r>
          </w:p>
        </w:tc>
        <w:tc>
          <w:tcPr>
            <w:tcW w:w="2589" w:type="dxa"/>
            <w:tcBorders>
              <w:tl2br w:val="nil"/>
              <w:tr2bl w:val="nil"/>
            </w:tcBorders>
            <w:shd w:val="clear" w:color="auto" w:fill="auto"/>
            <w:noWrap/>
            <w:vAlign w:val="center"/>
          </w:tcPr>
          <w:p w14:paraId="532CE7C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蹲便</w:t>
            </w:r>
          </w:p>
        </w:tc>
        <w:tc>
          <w:tcPr>
            <w:tcW w:w="1722" w:type="dxa"/>
            <w:tcBorders>
              <w:tl2br w:val="nil"/>
              <w:tr2bl w:val="nil"/>
            </w:tcBorders>
            <w:shd w:val="clear" w:color="auto" w:fill="auto"/>
            <w:noWrap/>
            <w:vAlign w:val="center"/>
          </w:tcPr>
          <w:p w14:paraId="7D2560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w:t>
            </w:r>
          </w:p>
        </w:tc>
        <w:tc>
          <w:tcPr>
            <w:tcW w:w="1865" w:type="dxa"/>
            <w:tcBorders>
              <w:tl2br w:val="nil"/>
              <w:tr2bl w:val="nil"/>
            </w:tcBorders>
            <w:shd w:val="clear" w:color="auto" w:fill="auto"/>
            <w:noWrap/>
            <w:vAlign w:val="center"/>
          </w:tcPr>
          <w:p w14:paraId="11296CDE">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70E9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160226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老门诊楼</w:t>
            </w:r>
          </w:p>
        </w:tc>
        <w:tc>
          <w:tcPr>
            <w:tcW w:w="2589" w:type="dxa"/>
            <w:tcBorders>
              <w:tl2br w:val="nil"/>
              <w:tr2bl w:val="nil"/>
            </w:tcBorders>
            <w:shd w:val="clear" w:color="auto" w:fill="auto"/>
            <w:noWrap/>
            <w:vAlign w:val="center"/>
          </w:tcPr>
          <w:p w14:paraId="4E0E3C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脚踏阀</w:t>
            </w:r>
          </w:p>
        </w:tc>
        <w:tc>
          <w:tcPr>
            <w:tcW w:w="1722" w:type="dxa"/>
            <w:tcBorders>
              <w:tl2br w:val="nil"/>
              <w:tr2bl w:val="nil"/>
            </w:tcBorders>
            <w:shd w:val="clear" w:color="auto" w:fill="auto"/>
            <w:noWrap/>
            <w:vAlign w:val="center"/>
          </w:tcPr>
          <w:p w14:paraId="38736D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w:t>
            </w:r>
          </w:p>
        </w:tc>
        <w:tc>
          <w:tcPr>
            <w:tcW w:w="1865" w:type="dxa"/>
            <w:tcBorders>
              <w:tl2br w:val="nil"/>
              <w:tr2bl w:val="nil"/>
            </w:tcBorders>
            <w:shd w:val="clear" w:color="auto" w:fill="auto"/>
            <w:noWrap/>
            <w:vAlign w:val="center"/>
          </w:tcPr>
          <w:p w14:paraId="5352D4E8">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7FD6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48B614B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老门诊楼</w:t>
            </w:r>
          </w:p>
        </w:tc>
        <w:tc>
          <w:tcPr>
            <w:tcW w:w="2589" w:type="dxa"/>
            <w:tcBorders>
              <w:tl2br w:val="nil"/>
              <w:tr2bl w:val="nil"/>
            </w:tcBorders>
            <w:shd w:val="clear" w:color="auto" w:fill="auto"/>
            <w:noWrap/>
            <w:vAlign w:val="center"/>
          </w:tcPr>
          <w:p w14:paraId="06C1C68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小便感应器</w:t>
            </w:r>
          </w:p>
        </w:tc>
        <w:tc>
          <w:tcPr>
            <w:tcW w:w="1722" w:type="dxa"/>
            <w:tcBorders>
              <w:tl2br w:val="nil"/>
              <w:tr2bl w:val="nil"/>
            </w:tcBorders>
            <w:shd w:val="clear" w:color="auto" w:fill="auto"/>
            <w:noWrap/>
            <w:vAlign w:val="center"/>
          </w:tcPr>
          <w:p w14:paraId="3AF3FC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30</w:t>
            </w:r>
          </w:p>
        </w:tc>
        <w:tc>
          <w:tcPr>
            <w:tcW w:w="1865" w:type="dxa"/>
            <w:tcBorders>
              <w:tl2br w:val="nil"/>
              <w:tr2bl w:val="nil"/>
            </w:tcBorders>
            <w:shd w:val="clear" w:color="auto" w:fill="auto"/>
            <w:noWrap/>
            <w:vAlign w:val="center"/>
          </w:tcPr>
          <w:p w14:paraId="0E895883">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1606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73E1248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2号楼</w:t>
            </w:r>
          </w:p>
        </w:tc>
        <w:tc>
          <w:tcPr>
            <w:tcW w:w="2589" w:type="dxa"/>
            <w:tcBorders>
              <w:tl2br w:val="nil"/>
              <w:tr2bl w:val="nil"/>
            </w:tcBorders>
            <w:shd w:val="clear" w:color="auto" w:fill="auto"/>
            <w:noWrap/>
            <w:vAlign w:val="center"/>
          </w:tcPr>
          <w:p w14:paraId="3DE0CD6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水龙头</w:t>
            </w:r>
          </w:p>
        </w:tc>
        <w:tc>
          <w:tcPr>
            <w:tcW w:w="1722" w:type="dxa"/>
            <w:tcBorders>
              <w:tl2br w:val="nil"/>
              <w:tr2bl w:val="nil"/>
            </w:tcBorders>
            <w:shd w:val="clear" w:color="auto" w:fill="auto"/>
            <w:noWrap/>
            <w:vAlign w:val="center"/>
          </w:tcPr>
          <w:p w14:paraId="7AC58E1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450</w:t>
            </w:r>
          </w:p>
        </w:tc>
        <w:tc>
          <w:tcPr>
            <w:tcW w:w="1865" w:type="dxa"/>
            <w:tcBorders>
              <w:tl2br w:val="nil"/>
              <w:tr2bl w:val="nil"/>
            </w:tcBorders>
            <w:shd w:val="clear" w:color="auto" w:fill="auto"/>
            <w:noWrap/>
            <w:vAlign w:val="center"/>
          </w:tcPr>
          <w:p w14:paraId="04143C22">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25FB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1307868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2号楼</w:t>
            </w:r>
          </w:p>
        </w:tc>
        <w:tc>
          <w:tcPr>
            <w:tcW w:w="2589" w:type="dxa"/>
            <w:tcBorders>
              <w:tl2br w:val="nil"/>
              <w:tr2bl w:val="nil"/>
            </w:tcBorders>
            <w:shd w:val="clear" w:color="auto" w:fill="auto"/>
            <w:noWrap/>
            <w:vAlign w:val="center"/>
          </w:tcPr>
          <w:p w14:paraId="52BD76B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座便</w:t>
            </w:r>
          </w:p>
        </w:tc>
        <w:tc>
          <w:tcPr>
            <w:tcW w:w="1722" w:type="dxa"/>
            <w:tcBorders>
              <w:tl2br w:val="nil"/>
              <w:tr2bl w:val="nil"/>
            </w:tcBorders>
            <w:shd w:val="clear" w:color="auto" w:fill="auto"/>
            <w:noWrap/>
            <w:vAlign w:val="center"/>
          </w:tcPr>
          <w:p w14:paraId="507E8DC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96</w:t>
            </w:r>
          </w:p>
        </w:tc>
        <w:tc>
          <w:tcPr>
            <w:tcW w:w="1865" w:type="dxa"/>
            <w:tcBorders>
              <w:tl2br w:val="nil"/>
              <w:tr2bl w:val="nil"/>
            </w:tcBorders>
            <w:shd w:val="clear" w:color="auto" w:fill="auto"/>
            <w:noWrap/>
            <w:vAlign w:val="center"/>
          </w:tcPr>
          <w:p w14:paraId="58322449">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2D62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11996B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2号楼</w:t>
            </w:r>
          </w:p>
        </w:tc>
        <w:tc>
          <w:tcPr>
            <w:tcW w:w="2589" w:type="dxa"/>
            <w:tcBorders>
              <w:tl2br w:val="nil"/>
              <w:tr2bl w:val="nil"/>
            </w:tcBorders>
            <w:shd w:val="clear" w:color="auto" w:fill="auto"/>
            <w:noWrap/>
            <w:vAlign w:val="center"/>
          </w:tcPr>
          <w:p w14:paraId="4C96F9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蹲便</w:t>
            </w:r>
          </w:p>
        </w:tc>
        <w:tc>
          <w:tcPr>
            <w:tcW w:w="1722" w:type="dxa"/>
            <w:tcBorders>
              <w:tl2br w:val="nil"/>
              <w:tr2bl w:val="nil"/>
            </w:tcBorders>
            <w:shd w:val="clear" w:color="auto" w:fill="auto"/>
            <w:noWrap/>
            <w:vAlign w:val="center"/>
          </w:tcPr>
          <w:p w14:paraId="12D9BC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253</w:t>
            </w:r>
          </w:p>
        </w:tc>
        <w:tc>
          <w:tcPr>
            <w:tcW w:w="1865" w:type="dxa"/>
            <w:tcBorders>
              <w:tl2br w:val="nil"/>
              <w:tr2bl w:val="nil"/>
            </w:tcBorders>
            <w:shd w:val="clear" w:color="auto" w:fill="auto"/>
            <w:noWrap/>
            <w:vAlign w:val="center"/>
          </w:tcPr>
          <w:p w14:paraId="45CB3D3E">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71EF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5751C8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2号楼</w:t>
            </w:r>
          </w:p>
        </w:tc>
        <w:tc>
          <w:tcPr>
            <w:tcW w:w="2589" w:type="dxa"/>
            <w:tcBorders>
              <w:tl2br w:val="nil"/>
              <w:tr2bl w:val="nil"/>
            </w:tcBorders>
            <w:shd w:val="clear" w:color="auto" w:fill="auto"/>
            <w:noWrap/>
            <w:vAlign w:val="center"/>
          </w:tcPr>
          <w:p w14:paraId="6EE88A4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脚踏阀</w:t>
            </w:r>
          </w:p>
        </w:tc>
        <w:tc>
          <w:tcPr>
            <w:tcW w:w="1722" w:type="dxa"/>
            <w:tcBorders>
              <w:tl2br w:val="nil"/>
              <w:tr2bl w:val="nil"/>
            </w:tcBorders>
            <w:shd w:val="clear" w:color="auto" w:fill="auto"/>
            <w:noWrap/>
            <w:vAlign w:val="center"/>
          </w:tcPr>
          <w:p w14:paraId="31FE994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253</w:t>
            </w:r>
          </w:p>
        </w:tc>
        <w:tc>
          <w:tcPr>
            <w:tcW w:w="1865" w:type="dxa"/>
            <w:tcBorders>
              <w:tl2br w:val="nil"/>
              <w:tr2bl w:val="nil"/>
            </w:tcBorders>
            <w:shd w:val="clear" w:color="auto" w:fill="auto"/>
            <w:noWrap/>
            <w:vAlign w:val="center"/>
          </w:tcPr>
          <w:p w14:paraId="46766388">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562D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2BED5C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2号楼</w:t>
            </w:r>
          </w:p>
        </w:tc>
        <w:tc>
          <w:tcPr>
            <w:tcW w:w="2589" w:type="dxa"/>
            <w:tcBorders>
              <w:tl2br w:val="nil"/>
              <w:tr2bl w:val="nil"/>
            </w:tcBorders>
            <w:shd w:val="clear" w:color="auto" w:fill="auto"/>
            <w:noWrap/>
            <w:vAlign w:val="center"/>
          </w:tcPr>
          <w:p w14:paraId="14FA50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小便感应器</w:t>
            </w:r>
          </w:p>
        </w:tc>
        <w:tc>
          <w:tcPr>
            <w:tcW w:w="1722" w:type="dxa"/>
            <w:tcBorders>
              <w:tl2br w:val="nil"/>
              <w:tr2bl w:val="nil"/>
            </w:tcBorders>
            <w:shd w:val="clear" w:color="auto" w:fill="auto"/>
            <w:noWrap/>
            <w:vAlign w:val="center"/>
          </w:tcPr>
          <w:p w14:paraId="7E5F48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24</w:t>
            </w:r>
          </w:p>
        </w:tc>
        <w:tc>
          <w:tcPr>
            <w:tcW w:w="1865" w:type="dxa"/>
            <w:tcBorders>
              <w:tl2br w:val="nil"/>
              <w:tr2bl w:val="nil"/>
            </w:tcBorders>
            <w:shd w:val="clear" w:color="auto" w:fill="auto"/>
            <w:noWrap/>
            <w:vAlign w:val="center"/>
          </w:tcPr>
          <w:p w14:paraId="016ABC00">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5406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19DC53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新门诊楼</w:t>
            </w:r>
          </w:p>
        </w:tc>
        <w:tc>
          <w:tcPr>
            <w:tcW w:w="2589" w:type="dxa"/>
            <w:tcBorders>
              <w:tl2br w:val="nil"/>
              <w:tr2bl w:val="nil"/>
            </w:tcBorders>
            <w:shd w:val="clear" w:color="auto" w:fill="auto"/>
            <w:noWrap/>
            <w:vAlign w:val="center"/>
          </w:tcPr>
          <w:p w14:paraId="4186B7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水龙头</w:t>
            </w:r>
          </w:p>
        </w:tc>
        <w:tc>
          <w:tcPr>
            <w:tcW w:w="1722" w:type="dxa"/>
            <w:tcBorders>
              <w:tl2br w:val="nil"/>
              <w:tr2bl w:val="nil"/>
            </w:tcBorders>
            <w:shd w:val="clear" w:color="auto" w:fill="auto"/>
            <w:noWrap/>
            <w:vAlign w:val="center"/>
          </w:tcPr>
          <w:p w14:paraId="0415070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340</w:t>
            </w:r>
          </w:p>
        </w:tc>
        <w:tc>
          <w:tcPr>
            <w:tcW w:w="1865" w:type="dxa"/>
            <w:tcBorders>
              <w:tl2br w:val="nil"/>
              <w:tr2bl w:val="nil"/>
            </w:tcBorders>
            <w:shd w:val="clear" w:color="auto" w:fill="auto"/>
            <w:noWrap/>
            <w:vAlign w:val="center"/>
          </w:tcPr>
          <w:p w14:paraId="3C0C34AF">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1B4A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430ED8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新门诊楼</w:t>
            </w:r>
          </w:p>
        </w:tc>
        <w:tc>
          <w:tcPr>
            <w:tcW w:w="2589" w:type="dxa"/>
            <w:tcBorders>
              <w:tl2br w:val="nil"/>
              <w:tr2bl w:val="nil"/>
            </w:tcBorders>
            <w:shd w:val="clear" w:color="auto" w:fill="auto"/>
            <w:noWrap/>
            <w:vAlign w:val="center"/>
          </w:tcPr>
          <w:p w14:paraId="167F99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座便</w:t>
            </w:r>
          </w:p>
        </w:tc>
        <w:tc>
          <w:tcPr>
            <w:tcW w:w="1722" w:type="dxa"/>
            <w:tcBorders>
              <w:tl2br w:val="nil"/>
              <w:tr2bl w:val="nil"/>
            </w:tcBorders>
            <w:shd w:val="clear" w:color="auto" w:fill="auto"/>
            <w:noWrap/>
            <w:vAlign w:val="center"/>
          </w:tcPr>
          <w:p w14:paraId="19BF6D0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w:t>
            </w:r>
          </w:p>
        </w:tc>
        <w:tc>
          <w:tcPr>
            <w:tcW w:w="1865" w:type="dxa"/>
            <w:tcBorders>
              <w:tl2br w:val="nil"/>
              <w:tr2bl w:val="nil"/>
            </w:tcBorders>
            <w:shd w:val="clear" w:color="auto" w:fill="auto"/>
            <w:noWrap/>
            <w:vAlign w:val="center"/>
          </w:tcPr>
          <w:p w14:paraId="6994B6A1">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74D3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547290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新门诊楼</w:t>
            </w:r>
          </w:p>
        </w:tc>
        <w:tc>
          <w:tcPr>
            <w:tcW w:w="2589" w:type="dxa"/>
            <w:tcBorders>
              <w:tl2br w:val="nil"/>
              <w:tr2bl w:val="nil"/>
            </w:tcBorders>
            <w:shd w:val="clear" w:color="auto" w:fill="auto"/>
            <w:noWrap/>
            <w:vAlign w:val="center"/>
          </w:tcPr>
          <w:p w14:paraId="42292FA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蹲便</w:t>
            </w:r>
          </w:p>
        </w:tc>
        <w:tc>
          <w:tcPr>
            <w:tcW w:w="1722" w:type="dxa"/>
            <w:tcBorders>
              <w:tl2br w:val="nil"/>
              <w:tr2bl w:val="nil"/>
            </w:tcBorders>
            <w:shd w:val="clear" w:color="auto" w:fill="auto"/>
            <w:noWrap/>
            <w:vAlign w:val="center"/>
          </w:tcPr>
          <w:p w14:paraId="231C425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55</w:t>
            </w:r>
          </w:p>
        </w:tc>
        <w:tc>
          <w:tcPr>
            <w:tcW w:w="1865" w:type="dxa"/>
            <w:tcBorders>
              <w:tl2br w:val="nil"/>
              <w:tr2bl w:val="nil"/>
            </w:tcBorders>
            <w:shd w:val="clear" w:color="auto" w:fill="auto"/>
            <w:noWrap/>
            <w:vAlign w:val="center"/>
          </w:tcPr>
          <w:p w14:paraId="5B558481">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1A1C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7A63316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新门诊楼</w:t>
            </w:r>
          </w:p>
        </w:tc>
        <w:tc>
          <w:tcPr>
            <w:tcW w:w="2589" w:type="dxa"/>
            <w:tcBorders>
              <w:tl2br w:val="nil"/>
              <w:tr2bl w:val="nil"/>
            </w:tcBorders>
            <w:shd w:val="clear" w:color="auto" w:fill="auto"/>
            <w:noWrap/>
            <w:vAlign w:val="center"/>
          </w:tcPr>
          <w:p w14:paraId="370E3EA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脚踏阀</w:t>
            </w:r>
          </w:p>
        </w:tc>
        <w:tc>
          <w:tcPr>
            <w:tcW w:w="1722" w:type="dxa"/>
            <w:tcBorders>
              <w:tl2br w:val="nil"/>
              <w:tr2bl w:val="nil"/>
            </w:tcBorders>
            <w:shd w:val="clear" w:color="auto" w:fill="auto"/>
            <w:noWrap/>
            <w:vAlign w:val="center"/>
          </w:tcPr>
          <w:p w14:paraId="56944FE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55</w:t>
            </w:r>
          </w:p>
        </w:tc>
        <w:tc>
          <w:tcPr>
            <w:tcW w:w="1865" w:type="dxa"/>
            <w:tcBorders>
              <w:tl2br w:val="nil"/>
              <w:tr2bl w:val="nil"/>
            </w:tcBorders>
            <w:shd w:val="clear" w:color="auto" w:fill="auto"/>
            <w:noWrap/>
            <w:vAlign w:val="center"/>
          </w:tcPr>
          <w:p w14:paraId="5C554EF0">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3939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7D917F5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新门诊楼</w:t>
            </w:r>
          </w:p>
        </w:tc>
        <w:tc>
          <w:tcPr>
            <w:tcW w:w="2589" w:type="dxa"/>
            <w:tcBorders>
              <w:tl2br w:val="nil"/>
              <w:tr2bl w:val="nil"/>
            </w:tcBorders>
            <w:shd w:val="clear" w:color="auto" w:fill="auto"/>
            <w:noWrap/>
            <w:vAlign w:val="center"/>
          </w:tcPr>
          <w:p w14:paraId="6F4445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小便感应器</w:t>
            </w:r>
          </w:p>
        </w:tc>
        <w:tc>
          <w:tcPr>
            <w:tcW w:w="1722" w:type="dxa"/>
            <w:tcBorders>
              <w:tl2br w:val="nil"/>
              <w:tr2bl w:val="nil"/>
            </w:tcBorders>
            <w:shd w:val="clear" w:color="auto" w:fill="auto"/>
            <w:noWrap/>
            <w:vAlign w:val="center"/>
          </w:tcPr>
          <w:p w14:paraId="4DC1CA4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32</w:t>
            </w:r>
          </w:p>
        </w:tc>
        <w:tc>
          <w:tcPr>
            <w:tcW w:w="1865" w:type="dxa"/>
            <w:tcBorders>
              <w:tl2br w:val="nil"/>
              <w:tr2bl w:val="nil"/>
            </w:tcBorders>
            <w:shd w:val="clear" w:color="auto" w:fill="auto"/>
            <w:noWrap/>
            <w:vAlign w:val="center"/>
          </w:tcPr>
          <w:p w14:paraId="2D7CC55A">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4503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2C27BFA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合计</w:t>
            </w:r>
          </w:p>
        </w:tc>
        <w:tc>
          <w:tcPr>
            <w:tcW w:w="2589" w:type="dxa"/>
            <w:tcBorders>
              <w:tl2br w:val="nil"/>
              <w:tr2bl w:val="nil"/>
            </w:tcBorders>
            <w:shd w:val="clear" w:color="auto" w:fill="auto"/>
            <w:noWrap/>
            <w:vAlign w:val="center"/>
          </w:tcPr>
          <w:p w14:paraId="0720FC2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水龙头</w:t>
            </w:r>
          </w:p>
        </w:tc>
        <w:tc>
          <w:tcPr>
            <w:tcW w:w="1722" w:type="dxa"/>
            <w:tcBorders>
              <w:tl2br w:val="nil"/>
              <w:tr2bl w:val="nil"/>
            </w:tcBorders>
            <w:shd w:val="clear" w:color="auto" w:fill="auto"/>
            <w:noWrap/>
            <w:vAlign w:val="center"/>
          </w:tcPr>
          <w:p w14:paraId="0D84C61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1780</w:t>
            </w:r>
          </w:p>
        </w:tc>
        <w:tc>
          <w:tcPr>
            <w:tcW w:w="1865" w:type="dxa"/>
            <w:tcBorders>
              <w:tl2br w:val="nil"/>
              <w:tr2bl w:val="nil"/>
            </w:tcBorders>
            <w:shd w:val="clear" w:color="auto" w:fill="auto"/>
            <w:noWrap/>
            <w:vAlign w:val="center"/>
          </w:tcPr>
          <w:p w14:paraId="4DF17982">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r>
              <w:rPr>
                <w:rFonts w:hint="eastAsia" w:ascii="仿宋" w:hAnsi="仿宋" w:eastAsia="仿宋" w:cs="仿宋"/>
                <w:i w:val="0"/>
                <w:iCs w:val="0"/>
                <w:color w:val="000000"/>
                <w:spacing w:val="-2"/>
                <w:kern w:val="0"/>
                <w:sz w:val="21"/>
                <w:szCs w:val="21"/>
                <w:u w:val="none"/>
                <w:lang w:val="en-US" w:eastAsia="zh-CN" w:bidi="ar"/>
              </w:rPr>
              <w:t>感应水龙头40个</w:t>
            </w:r>
          </w:p>
        </w:tc>
      </w:tr>
      <w:tr w14:paraId="031D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4A25936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合计</w:t>
            </w:r>
          </w:p>
        </w:tc>
        <w:tc>
          <w:tcPr>
            <w:tcW w:w="2589" w:type="dxa"/>
            <w:tcBorders>
              <w:tl2br w:val="nil"/>
              <w:tr2bl w:val="nil"/>
            </w:tcBorders>
            <w:shd w:val="clear" w:color="auto" w:fill="auto"/>
            <w:noWrap/>
            <w:vAlign w:val="center"/>
          </w:tcPr>
          <w:p w14:paraId="58CB41E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脚踏阀</w:t>
            </w:r>
          </w:p>
        </w:tc>
        <w:tc>
          <w:tcPr>
            <w:tcW w:w="1722" w:type="dxa"/>
            <w:tcBorders>
              <w:tl2br w:val="nil"/>
              <w:tr2bl w:val="nil"/>
            </w:tcBorders>
            <w:shd w:val="clear" w:color="auto" w:fill="auto"/>
            <w:noWrap/>
            <w:vAlign w:val="center"/>
          </w:tcPr>
          <w:p w14:paraId="7F9FA1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765</w:t>
            </w:r>
          </w:p>
        </w:tc>
        <w:tc>
          <w:tcPr>
            <w:tcW w:w="1865" w:type="dxa"/>
            <w:tcBorders>
              <w:tl2br w:val="nil"/>
              <w:tr2bl w:val="nil"/>
            </w:tcBorders>
            <w:shd w:val="clear" w:color="auto" w:fill="auto"/>
            <w:noWrap/>
            <w:vAlign w:val="center"/>
          </w:tcPr>
          <w:p w14:paraId="0FBBC06B">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152E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BD8387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合计</w:t>
            </w:r>
          </w:p>
        </w:tc>
        <w:tc>
          <w:tcPr>
            <w:tcW w:w="2589" w:type="dxa"/>
            <w:tcBorders>
              <w:tl2br w:val="nil"/>
              <w:tr2bl w:val="nil"/>
            </w:tcBorders>
            <w:shd w:val="clear" w:color="auto" w:fill="auto"/>
            <w:noWrap/>
            <w:vAlign w:val="center"/>
          </w:tcPr>
          <w:p w14:paraId="32A14E9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淋浴头</w:t>
            </w:r>
          </w:p>
        </w:tc>
        <w:tc>
          <w:tcPr>
            <w:tcW w:w="1722" w:type="dxa"/>
            <w:tcBorders>
              <w:tl2br w:val="nil"/>
              <w:tr2bl w:val="nil"/>
            </w:tcBorders>
            <w:shd w:val="clear" w:color="auto" w:fill="auto"/>
            <w:noWrap/>
            <w:vAlign w:val="center"/>
          </w:tcPr>
          <w:p w14:paraId="5C64F64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342</w:t>
            </w:r>
          </w:p>
        </w:tc>
        <w:tc>
          <w:tcPr>
            <w:tcW w:w="1865" w:type="dxa"/>
            <w:tcBorders>
              <w:tl2br w:val="nil"/>
              <w:tr2bl w:val="nil"/>
            </w:tcBorders>
            <w:shd w:val="clear" w:color="auto" w:fill="auto"/>
            <w:noWrap/>
            <w:vAlign w:val="center"/>
          </w:tcPr>
          <w:p w14:paraId="18EBC0E2">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6FAB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3BD31A2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合计</w:t>
            </w:r>
          </w:p>
        </w:tc>
        <w:tc>
          <w:tcPr>
            <w:tcW w:w="2589" w:type="dxa"/>
            <w:tcBorders>
              <w:tl2br w:val="nil"/>
              <w:tr2bl w:val="nil"/>
            </w:tcBorders>
            <w:shd w:val="clear" w:color="auto" w:fill="auto"/>
            <w:noWrap/>
            <w:vAlign w:val="center"/>
          </w:tcPr>
          <w:p w14:paraId="05D628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蹲便</w:t>
            </w:r>
          </w:p>
        </w:tc>
        <w:tc>
          <w:tcPr>
            <w:tcW w:w="1722" w:type="dxa"/>
            <w:tcBorders>
              <w:tl2br w:val="nil"/>
              <w:tr2bl w:val="nil"/>
            </w:tcBorders>
            <w:shd w:val="clear" w:color="auto" w:fill="auto"/>
            <w:noWrap/>
            <w:vAlign w:val="center"/>
          </w:tcPr>
          <w:p w14:paraId="10F563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765</w:t>
            </w:r>
          </w:p>
        </w:tc>
        <w:tc>
          <w:tcPr>
            <w:tcW w:w="1865" w:type="dxa"/>
            <w:tcBorders>
              <w:tl2br w:val="nil"/>
              <w:tr2bl w:val="nil"/>
            </w:tcBorders>
            <w:shd w:val="clear" w:color="auto" w:fill="auto"/>
            <w:noWrap/>
            <w:vAlign w:val="center"/>
          </w:tcPr>
          <w:p w14:paraId="387DCC5C">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3E4D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CAB7C7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合计</w:t>
            </w:r>
          </w:p>
        </w:tc>
        <w:tc>
          <w:tcPr>
            <w:tcW w:w="2589" w:type="dxa"/>
            <w:tcBorders>
              <w:tl2br w:val="nil"/>
              <w:tr2bl w:val="nil"/>
            </w:tcBorders>
            <w:shd w:val="clear" w:color="auto" w:fill="auto"/>
            <w:noWrap/>
            <w:vAlign w:val="center"/>
          </w:tcPr>
          <w:p w14:paraId="01E2A0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座便</w:t>
            </w:r>
          </w:p>
        </w:tc>
        <w:tc>
          <w:tcPr>
            <w:tcW w:w="1722" w:type="dxa"/>
            <w:tcBorders>
              <w:tl2br w:val="nil"/>
              <w:tr2bl w:val="nil"/>
            </w:tcBorders>
            <w:shd w:val="clear" w:color="auto" w:fill="auto"/>
            <w:noWrap/>
            <w:vAlign w:val="center"/>
          </w:tcPr>
          <w:p w14:paraId="12DE7F0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101</w:t>
            </w:r>
          </w:p>
        </w:tc>
        <w:tc>
          <w:tcPr>
            <w:tcW w:w="1865" w:type="dxa"/>
            <w:tcBorders>
              <w:tl2br w:val="nil"/>
              <w:tr2bl w:val="nil"/>
            </w:tcBorders>
            <w:shd w:val="clear" w:color="auto" w:fill="auto"/>
            <w:noWrap/>
            <w:vAlign w:val="center"/>
          </w:tcPr>
          <w:p w14:paraId="3CECBAF6">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r w14:paraId="6A1E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2690" w:type="dxa"/>
            <w:tcBorders>
              <w:tl2br w:val="nil"/>
              <w:tr2bl w:val="nil"/>
            </w:tcBorders>
            <w:shd w:val="clear" w:color="auto" w:fill="auto"/>
            <w:noWrap/>
            <w:vAlign w:val="center"/>
          </w:tcPr>
          <w:p w14:paraId="675DAFC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合计</w:t>
            </w:r>
          </w:p>
        </w:tc>
        <w:tc>
          <w:tcPr>
            <w:tcW w:w="2589" w:type="dxa"/>
            <w:tcBorders>
              <w:tl2br w:val="nil"/>
              <w:tr2bl w:val="nil"/>
            </w:tcBorders>
            <w:shd w:val="clear" w:color="auto" w:fill="auto"/>
            <w:noWrap/>
            <w:vAlign w:val="center"/>
          </w:tcPr>
          <w:p w14:paraId="2AA2DA2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小便感应器</w:t>
            </w:r>
          </w:p>
        </w:tc>
        <w:tc>
          <w:tcPr>
            <w:tcW w:w="1722" w:type="dxa"/>
            <w:tcBorders>
              <w:tl2br w:val="nil"/>
              <w:tr2bl w:val="nil"/>
            </w:tcBorders>
            <w:shd w:val="clear" w:color="auto" w:fill="auto"/>
            <w:noWrap/>
            <w:vAlign w:val="center"/>
          </w:tcPr>
          <w:p w14:paraId="64611E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pacing w:val="-2"/>
                <w:kern w:val="0"/>
                <w:sz w:val="21"/>
                <w:szCs w:val="21"/>
                <w:u w:val="none"/>
                <w:lang w:val="en-US" w:eastAsia="zh-CN" w:bidi="ar"/>
              </w:rPr>
              <w:t>121</w:t>
            </w:r>
          </w:p>
        </w:tc>
        <w:tc>
          <w:tcPr>
            <w:tcW w:w="1865" w:type="dxa"/>
            <w:tcBorders>
              <w:tl2br w:val="nil"/>
              <w:tr2bl w:val="nil"/>
            </w:tcBorders>
            <w:shd w:val="clear" w:color="auto" w:fill="auto"/>
            <w:noWrap/>
            <w:vAlign w:val="center"/>
          </w:tcPr>
          <w:p w14:paraId="4C600EF6">
            <w:pPr>
              <w:keepNext w:val="0"/>
              <w:keepLines w:val="0"/>
              <w:widowControl/>
              <w:suppressLineNumbers w:val="0"/>
              <w:jc w:val="center"/>
              <w:textAlignment w:val="center"/>
              <w:rPr>
                <w:rFonts w:hint="eastAsia" w:ascii="仿宋" w:hAnsi="仿宋" w:eastAsia="仿宋" w:cs="仿宋"/>
                <w:i w:val="0"/>
                <w:iCs w:val="0"/>
                <w:color w:val="000000"/>
                <w:spacing w:val="-2"/>
                <w:kern w:val="0"/>
                <w:sz w:val="21"/>
                <w:szCs w:val="21"/>
                <w:u w:val="none"/>
                <w:lang w:val="en-US" w:eastAsia="zh-CN" w:bidi="ar"/>
              </w:rPr>
            </w:pPr>
          </w:p>
        </w:tc>
      </w:tr>
    </w:tbl>
    <w:p w14:paraId="7D2432EC">
      <w:pPr>
        <w:rPr>
          <w:rFonts w:hint="eastAsia" w:ascii="仿宋" w:hAnsi="仿宋" w:eastAsia="仿宋" w:cs="仿宋"/>
        </w:rPr>
      </w:pPr>
    </w:p>
    <w:p w14:paraId="16195D00">
      <w:pPr>
        <w:spacing w:line="560" w:lineRule="exact"/>
        <w:jc w:val="left"/>
        <w:rPr>
          <w:rFonts w:hint="eastAsia" w:ascii="仿宋" w:hAnsi="仿宋" w:eastAsia="仿宋" w:cs="仿宋"/>
          <w:color w:val="auto"/>
          <w:sz w:val="32"/>
          <w:szCs w:val="32"/>
          <w:lang w:val="en-US" w:eastAsia="zh-CN"/>
        </w:rPr>
      </w:pPr>
    </w:p>
    <w:p w14:paraId="5F7C7FF6">
      <w:pPr>
        <w:spacing w:line="560" w:lineRule="exact"/>
        <w:jc w:val="left"/>
        <w:rPr>
          <w:rFonts w:hint="eastAsia" w:ascii="仿宋" w:hAnsi="仿宋" w:eastAsia="仿宋" w:cs="仿宋"/>
          <w:color w:val="auto"/>
          <w:sz w:val="32"/>
          <w:szCs w:val="32"/>
          <w:lang w:val="en-US" w:eastAsia="zh-CN"/>
        </w:rPr>
      </w:pPr>
    </w:p>
    <w:p w14:paraId="265CA0B9">
      <w:pPr>
        <w:spacing w:line="560" w:lineRule="exact"/>
        <w:jc w:val="left"/>
        <w:rPr>
          <w:rFonts w:hint="eastAsia" w:ascii="仿宋" w:hAnsi="仿宋" w:eastAsia="仿宋" w:cs="仿宋"/>
          <w:color w:val="auto"/>
          <w:sz w:val="32"/>
          <w:szCs w:val="32"/>
          <w:lang w:val="en-US" w:eastAsia="zh-CN"/>
        </w:rPr>
      </w:pPr>
    </w:p>
    <w:p w14:paraId="6569320F">
      <w:pPr>
        <w:spacing w:line="560" w:lineRule="exact"/>
        <w:jc w:val="left"/>
        <w:rPr>
          <w:rFonts w:hint="eastAsia" w:ascii="仿宋" w:hAnsi="仿宋" w:eastAsia="仿宋" w:cs="仿宋"/>
          <w:color w:val="auto"/>
          <w:sz w:val="32"/>
          <w:szCs w:val="32"/>
          <w:lang w:val="en-US" w:eastAsia="zh-CN"/>
        </w:rPr>
      </w:pPr>
    </w:p>
    <w:p w14:paraId="277A38A9">
      <w:pP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br w:type="page"/>
      </w:r>
    </w:p>
    <w:p w14:paraId="45B5D92C">
      <w:pPr>
        <w:pStyle w:val="3"/>
        <w:bidi w:val="0"/>
        <w:rPr>
          <w:rFonts w:hint="eastAsia"/>
          <w:lang w:val="en-US" w:eastAsia="zh-CN"/>
        </w:rPr>
      </w:pPr>
      <w:r>
        <w:rPr>
          <w:rFonts w:hint="eastAsia"/>
          <w:lang w:val="en-US" w:eastAsia="zh-CN"/>
        </w:rPr>
        <w:t>附件二：</w:t>
      </w:r>
      <w:bookmarkStart w:id="9" w:name="_Toc22066"/>
      <w:r>
        <w:rPr>
          <w:rFonts w:hint="eastAsia"/>
          <w:lang w:val="en-US" w:eastAsia="zh-CN"/>
        </w:rPr>
        <w:t>能源费用调整规则</w:t>
      </w:r>
    </w:p>
    <w:p w14:paraId="6D6218C0">
      <w:pPr>
        <w:spacing w:line="560" w:lineRule="exact"/>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一、能源费用调整规则</w:t>
      </w:r>
      <w:bookmarkEnd w:id="9"/>
    </w:p>
    <w:p w14:paraId="24F488AF">
      <w:pPr>
        <w:spacing w:line="360" w:lineRule="auto"/>
        <w:ind w:firstLine="480" w:firstLineChars="200"/>
        <w:rPr>
          <w:rFonts w:hint="eastAsia" w:ascii="仿宋" w:hAnsi="仿宋" w:eastAsia="仿宋" w:cs="仿宋"/>
          <w:bCs/>
          <w:color w:val="auto"/>
          <w:sz w:val="24"/>
          <w:szCs w:val="24"/>
          <w:lang w:val="en-US" w:eastAsia="zh-CN"/>
        </w:rPr>
      </w:pPr>
      <w:bookmarkStart w:id="10" w:name="_Toc24379"/>
      <w:bookmarkStart w:id="11" w:name="_Toc29040"/>
      <w:bookmarkStart w:id="12" w:name="_Toc11408"/>
      <w:r>
        <w:rPr>
          <w:rFonts w:hint="eastAsia" w:ascii="仿宋" w:hAnsi="仿宋" w:eastAsia="仿宋" w:cs="仿宋"/>
          <w:bCs/>
          <w:color w:val="auto"/>
          <w:sz w:val="24"/>
          <w:szCs w:val="24"/>
          <w:lang w:val="en-US" w:eastAsia="zh-CN"/>
        </w:rPr>
        <w:t>为了清晰的界定托管能源费用，依据双方约定如果下述任何边界条件发生变化，对能源托管费用进行调整。调整规则参照《中华人民共和国机关事务行业标准JS/T 301-2024（公共机构能源费用托管实施规程）》的附件：能源费用托管合同调整规则指引。</w:t>
      </w:r>
    </w:p>
    <w:p w14:paraId="4FA15F87">
      <w:pPr>
        <w:spacing w:line="360" w:lineRule="auto"/>
        <w:ind w:firstLine="480" w:firstLineChars="200"/>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a.第一阶段能源费用调整规则</w:t>
      </w:r>
    </w:p>
    <w:p w14:paraId="436BFADA">
      <w:pPr>
        <w:spacing w:line="360" w:lineRule="auto"/>
        <w:ind w:firstLine="480" w:firstLineChars="200"/>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进入托管期后，记录第一年能源站电量和冷热量，在具备能源站计量数据的基础上，根据能源站用量、能源站外用电等变化进行调整。</w:t>
      </w:r>
    </w:p>
    <w:p w14:paraId="3073DEBE">
      <w:pPr>
        <w:spacing w:line="360" w:lineRule="auto"/>
        <w:ind w:firstLine="480" w:firstLineChars="200"/>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（1）用电设备能耗调整规则</w:t>
      </w:r>
    </w:p>
    <w:p w14:paraId="1AA7951F">
      <w:pPr>
        <w:spacing w:line="360" w:lineRule="auto"/>
        <w:ind w:firstLine="472" w:firstLineChars="200"/>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双方以及登记造册的《用电设备清单》以合同签订期为基准登记节点，于合同签订期前登记设备为原有设备，于合同签订期后登记设备为新增/减设备。</w:t>
      </w:r>
    </w:p>
    <w:p w14:paraId="2C3F0027">
      <w:pPr>
        <w:kinsoku w:val="0"/>
        <w:autoSpaceDE w:val="0"/>
        <w:autoSpaceDN w:val="0"/>
        <w:adjustRightInd w:val="0"/>
        <w:snapToGrid w:val="0"/>
        <w:spacing w:line="360" w:lineRule="auto"/>
        <w:ind w:left="44" w:firstLine="472" w:firstLineChars="200"/>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1）原有用电设备</w:t>
      </w:r>
    </w:p>
    <w:p w14:paraId="6EA848EE">
      <w:pPr>
        <w:kinsoku w:val="0"/>
        <w:autoSpaceDE w:val="0"/>
        <w:autoSpaceDN w:val="0"/>
        <w:adjustRightInd w:val="0"/>
        <w:snapToGrid w:val="0"/>
        <w:spacing w:line="360" w:lineRule="auto"/>
        <w:ind w:left="39" w:leftChars="0" w:right="9" w:firstLine="381" w:firstLineChars="0"/>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考虑到原有用电设备的配电无单独支路 ， 因此该部分设备基准电量根据每年使用时长差进行调整计算。若原有设备每年使用时长差≤5%，可不作调整。调整计算如下：</w:t>
      </w:r>
    </w:p>
    <w:p w14:paraId="37CF03E7">
      <w:pPr>
        <w:kinsoku w:val="0"/>
        <w:autoSpaceDE w:val="0"/>
        <w:autoSpaceDN w:val="0"/>
        <w:adjustRightInd w:val="0"/>
        <w:snapToGrid w:val="0"/>
        <w:spacing w:line="360" w:lineRule="auto"/>
        <w:ind w:left="23"/>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en-US" w:bidi="ar-SA"/>
        </w:rPr>
        <w:drawing>
          <wp:inline distT="0" distB="0" distL="114300" distR="114300">
            <wp:extent cx="164465" cy="233045"/>
            <wp:effectExtent l="0" t="0" r="635" b="825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6"/>
                    <a:stretch>
                      <a:fillRect/>
                    </a:stretch>
                  </pic:blipFill>
                  <pic:spPr>
                    <a:xfrm>
                      <a:off x="0" y="0"/>
                      <a:ext cx="164465" cy="233045"/>
                    </a:xfrm>
                    <a:prstGeom prst="rect">
                      <a:avLst/>
                    </a:prstGeom>
                    <a:noFill/>
                    <a:ln>
                      <a:noFill/>
                    </a:ln>
                  </pic:spPr>
                </pic:pic>
              </a:graphicData>
            </a:graphic>
          </wp:inline>
        </w:drawing>
      </w:r>
      <w:r>
        <w:rPr>
          <w:rFonts w:hint="eastAsia" w:ascii="仿宋" w:hAnsi="仿宋" w:eastAsia="仿宋" w:cs="仿宋"/>
          <w:b w:val="0"/>
          <w:bCs/>
          <w:color w:val="auto"/>
          <w:spacing w:val="-2"/>
          <w:sz w:val="24"/>
          <w:szCs w:val="24"/>
          <w:lang w:val="en-US" w:eastAsia="zh-CN" w:bidi="ar-SA"/>
        </w:rPr>
        <w:t>Ni×Q×</w:t>
      </w:r>
      <w:r>
        <w:rPr>
          <w:rFonts w:hint="eastAsia" w:ascii="仿宋" w:hAnsi="仿宋" w:eastAsia="仿宋" w:cs="仿宋"/>
          <w:b w:val="0"/>
          <w:bCs/>
          <w:color w:val="auto"/>
          <w:spacing w:val="-2"/>
          <w:sz w:val="24"/>
          <w:szCs w:val="24"/>
          <w:lang w:val="en-US" w:eastAsia="en-US" w:bidi="ar-SA"/>
        </w:rPr>
        <w:t>Δ</w:t>
      </w:r>
      <w:r>
        <w:rPr>
          <w:rFonts w:hint="eastAsia" w:ascii="仿宋" w:hAnsi="仿宋" w:eastAsia="仿宋" w:cs="仿宋"/>
          <w:b w:val="0"/>
          <w:bCs/>
          <w:color w:val="auto"/>
          <w:spacing w:val="-2"/>
          <w:sz w:val="24"/>
          <w:szCs w:val="24"/>
          <w:lang w:val="en-US" w:eastAsia="zh-CN" w:bidi="ar-SA"/>
        </w:rPr>
        <w:t>H</w:t>
      </w:r>
    </w:p>
    <w:p w14:paraId="244ECF70">
      <w:pPr>
        <w:kinsoku w:val="0"/>
        <w:autoSpaceDE w:val="0"/>
        <w:autoSpaceDN w:val="0"/>
        <w:adjustRightInd w:val="0"/>
        <w:snapToGrid w:val="0"/>
        <w:spacing w:line="360" w:lineRule="auto"/>
        <w:ind w:left="43"/>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原有用电设备年调整电量=1</w:t>
      </w:r>
    </w:p>
    <w:p w14:paraId="097ABF62">
      <w:pPr>
        <w:kinsoku w:val="0"/>
        <w:autoSpaceDE w:val="0"/>
        <w:autoSpaceDN w:val="0"/>
        <w:adjustRightInd w:val="0"/>
        <w:snapToGrid w:val="0"/>
        <w:spacing w:line="360" w:lineRule="auto"/>
        <w:ind w:left="24"/>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Ni—第i类用电设备功率（kW），i∝（1~n);</w:t>
      </w:r>
    </w:p>
    <w:p w14:paraId="5C0B60AD">
      <w:pPr>
        <w:kinsoku w:val="0"/>
        <w:autoSpaceDE w:val="0"/>
        <w:autoSpaceDN w:val="0"/>
        <w:adjustRightInd w:val="0"/>
        <w:snapToGrid w:val="0"/>
        <w:spacing w:line="360" w:lineRule="auto"/>
        <w:ind w:left="29"/>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Q—第i类用电设备数量（台）；</w:t>
      </w:r>
    </w:p>
    <w:p w14:paraId="51A5D6C8">
      <w:pPr>
        <w:kinsoku w:val="0"/>
        <w:autoSpaceDE w:val="0"/>
        <w:autoSpaceDN w:val="0"/>
        <w:adjustRightInd w:val="0"/>
        <w:snapToGrid w:val="0"/>
        <w:spacing w:line="360" w:lineRule="auto"/>
        <w:ind w:left="80"/>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en-US" w:bidi="ar-SA"/>
        </w:rPr>
        <w:t>Δ</w:t>
      </w:r>
      <w:r>
        <w:rPr>
          <w:rFonts w:hint="eastAsia" w:ascii="仿宋" w:hAnsi="仿宋" w:eastAsia="仿宋" w:cs="仿宋"/>
          <w:b w:val="0"/>
          <w:bCs/>
          <w:color w:val="auto"/>
          <w:spacing w:val="-2"/>
          <w:sz w:val="24"/>
          <w:szCs w:val="24"/>
          <w:lang w:val="en-US" w:eastAsia="zh-CN" w:bidi="ar-SA"/>
        </w:rPr>
        <w:t>H—第i类用电设备年运行时间差额（小时）。</w:t>
      </w:r>
    </w:p>
    <w:p w14:paraId="4F2E03B2">
      <w:pPr>
        <w:kinsoku w:val="0"/>
        <w:autoSpaceDE w:val="0"/>
        <w:autoSpaceDN w:val="0"/>
        <w:adjustRightInd w:val="0"/>
        <w:snapToGrid w:val="0"/>
        <w:spacing w:line="360" w:lineRule="auto"/>
        <w:ind w:left="44" w:firstLine="472" w:firstLineChars="200"/>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2）增减用电设备</w:t>
      </w:r>
    </w:p>
    <w:p w14:paraId="104EAA16">
      <w:pPr>
        <w:kinsoku w:val="0"/>
        <w:autoSpaceDE w:val="0"/>
        <w:autoSpaceDN w:val="0"/>
        <w:adjustRightInd w:val="0"/>
        <w:snapToGrid w:val="0"/>
        <w:spacing w:line="360" w:lineRule="auto"/>
        <w:ind w:left="40" w:leftChars="0" w:right="9" w:firstLine="380" w:firstLineChars="0"/>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双方以及登记造册的《设备清单》为基准，托管电量根据实际增加设备的使用耗电情况及时进行调整。甲方添加或减少用电设备前，应事先书面告知乙方；因用电设备增减而引起的预测年耗电量的累积总和在年托管基准电量1％以内，乙方进行必要的记录核实，托管基准不予调整；因用电设备 增减而引起的预测年耗电量累积超过年托管基准电量1％以上的，在增减设备的次月，年托管电量和月托管电量按预测用电量进行相应的增加或减少。</w:t>
      </w:r>
    </w:p>
    <w:p w14:paraId="669939C5">
      <w:pPr>
        <w:kinsoku w:val="0"/>
        <w:autoSpaceDE w:val="0"/>
        <w:autoSpaceDN w:val="0"/>
        <w:adjustRightInd w:val="0"/>
        <w:snapToGrid w:val="0"/>
        <w:spacing w:line="360" w:lineRule="auto"/>
        <w:ind w:left="39" w:leftChars="0" w:right="16" w:firstLine="381" w:firstLineChars="0"/>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增减设备统计从合同签订之日开始计算，按照设备增减的具体时间计算设备电耗增加情况。</w:t>
      </w:r>
    </w:p>
    <w:p w14:paraId="03B90B33">
      <w:pPr>
        <w:kinsoku w:val="0"/>
        <w:autoSpaceDE w:val="0"/>
        <w:autoSpaceDN w:val="0"/>
        <w:adjustRightInd w:val="0"/>
        <w:snapToGrid w:val="0"/>
        <w:spacing w:line="360" w:lineRule="auto"/>
        <w:ind w:left="12"/>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增减用电设备年调整电量</w:t>
      </w:r>
      <w:r>
        <w:rPr>
          <w:rFonts w:hint="eastAsia" w:ascii="仿宋" w:hAnsi="仿宋" w:eastAsia="仿宋" w:cs="仿宋"/>
          <w:b w:val="0"/>
          <w:bCs/>
          <w:color w:val="auto"/>
          <w:spacing w:val="-2"/>
          <w:sz w:val="24"/>
          <w:szCs w:val="24"/>
          <w:lang w:val="en-US" w:eastAsia="en-US" w:bidi="ar-SA"/>
        </w:rPr>
        <w:drawing>
          <wp:inline distT="0" distB="0" distL="114300" distR="114300">
            <wp:extent cx="973455" cy="347345"/>
            <wp:effectExtent l="0" t="0" r="4445" b="8255"/>
            <wp:docPr id="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pic:cNvPicPr>
                      <a:picLocks noChangeAspect="1"/>
                    </pic:cNvPicPr>
                  </pic:nvPicPr>
                  <pic:blipFill>
                    <a:blip r:embed="rId7"/>
                    <a:stretch>
                      <a:fillRect/>
                    </a:stretch>
                  </pic:blipFill>
                  <pic:spPr>
                    <a:xfrm>
                      <a:off x="0" y="0"/>
                      <a:ext cx="973455" cy="347345"/>
                    </a:xfrm>
                    <a:prstGeom prst="rect">
                      <a:avLst/>
                    </a:prstGeom>
                    <a:noFill/>
                    <a:ln>
                      <a:noFill/>
                    </a:ln>
                  </pic:spPr>
                </pic:pic>
              </a:graphicData>
            </a:graphic>
          </wp:inline>
        </w:drawing>
      </w:r>
    </w:p>
    <w:p w14:paraId="171FEE12">
      <w:pPr>
        <w:kinsoku w:val="0"/>
        <w:autoSpaceDE w:val="0"/>
        <w:autoSpaceDN w:val="0"/>
        <w:adjustRightInd w:val="0"/>
        <w:snapToGrid w:val="0"/>
        <w:spacing w:line="360" w:lineRule="auto"/>
        <w:ind w:left="3" w:right="1828" w:firstLine="11"/>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其中：Ni—添加或减少的第i类用电设备功率（kW），i∝（1~n);</w:t>
      </w:r>
    </w:p>
    <w:p w14:paraId="4F4DAA36">
      <w:pPr>
        <w:kinsoku w:val="0"/>
        <w:autoSpaceDE w:val="0"/>
        <w:autoSpaceDN w:val="0"/>
        <w:adjustRightInd w:val="0"/>
        <w:snapToGrid w:val="0"/>
        <w:spacing w:line="360" w:lineRule="auto"/>
        <w:ind w:left="3" w:right="1828" w:firstLine="11"/>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Q—添加或减少的第i类用电设备数量（台）；</w:t>
      </w:r>
    </w:p>
    <w:p w14:paraId="4D493772">
      <w:pPr>
        <w:kinsoku w:val="0"/>
        <w:autoSpaceDE w:val="0"/>
        <w:autoSpaceDN w:val="0"/>
        <w:adjustRightInd w:val="0"/>
        <w:snapToGrid w:val="0"/>
        <w:spacing w:line="360" w:lineRule="auto"/>
        <w:textAlignment w:val="baseline"/>
        <w:rPr>
          <w:rFonts w:hint="eastAsia" w:ascii="仿宋" w:hAnsi="仿宋" w:eastAsia="仿宋" w:cs="仿宋"/>
          <w:b w:val="0"/>
          <w:bCs/>
          <w:color w:val="auto"/>
          <w:spacing w:val="-2"/>
          <w:sz w:val="24"/>
          <w:szCs w:val="24"/>
          <w:lang w:val="en-US" w:eastAsia="zh-CN" w:bidi="ar-SA"/>
        </w:rPr>
      </w:pPr>
      <w:r>
        <w:rPr>
          <w:rFonts w:hint="eastAsia" w:ascii="仿宋" w:hAnsi="仿宋" w:eastAsia="仿宋" w:cs="仿宋"/>
          <w:b w:val="0"/>
          <w:bCs/>
          <w:color w:val="auto"/>
          <w:spacing w:val="-2"/>
          <w:sz w:val="24"/>
          <w:szCs w:val="24"/>
          <w:lang w:val="en-US" w:eastAsia="zh-CN" w:bidi="ar-SA"/>
        </w:rPr>
        <w:t>H—添加或减少的第i类用电设备年运行时间（小时）。</w:t>
      </w:r>
    </w:p>
    <w:p w14:paraId="40C7D67B">
      <w:pPr>
        <w:kinsoku w:val="0"/>
        <w:autoSpaceDE w:val="0"/>
        <w:autoSpaceDN w:val="0"/>
        <w:adjustRightInd w:val="0"/>
        <w:snapToGrid w:val="0"/>
        <w:spacing w:line="360" w:lineRule="auto"/>
        <w:ind w:left="12" w:firstLine="499"/>
        <w:textAlignment w:val="baseline"/>
        <w:rPr>
          <w:rFonts w:hint="eastAsia" w:ascii="仿宋" w:hAnsi="仿宋" w:eastAsia="仿宋" w:cs="仿宋"/>
          <w:snapToGrid w:val="0"/>
          <w:color w:val="auto"/>
          <w:spacing w:val="1"/>
          <w:sz w:val="24"/>
          <w:szCs w:val="24"/>
          <w:lang w:val="en-US" w:eastAsia="zh-CN"/>
        </w:rPr>
      </w:pPr>
      <w:r>
        <w:rPr>
          <w:rFonts w:hint="eastAsia" w:ascii="仿宋" w:hAnsi="仿宋" w:eastAsia="仿宋" w:cs="仿宋"/>
          <w:snapToGrid w:val="0"/>
          <w:color w:val="auto"/>
          <w:spacing w:val="1"/>
          <w:sz w:val="24"/>
          <w:szCs w:val="24"/>
          <w:lang w:val="en-US" w:eastAsia="zh-CN"/>
        </w:rPr>
        <w:t>（2）建筑用能面积变化调整规则</w:t>
      </w:r>
    </w:p>
    <w:p w14:paraId="38E5244C">
      <w:pPr>
        <w:kinsoku w:val="0"/>
        <w:autoSpaceDE w:val="0"/>
        <w:autoSpaceDN w:val="0"/>
        <w:adjustRightInd w:val="0"/>
        <w:snapToGrid w:val="0"/>
        <w:spacing w:line="360" w:lineRule="auto"/>
        <w:ind w:left="12" w:firstLine="499"/>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1"/>
          <w:sz w:val="24"/>
          <w:szCs w:val="24"/>
        </w:rPr>
        <w:t>建筑用能面积变化包括：1、大楼新建或拆除；2、已有大楼内功能区域</w:t>
      </w:r>
      <w:r>
        <w:rPr>
          <w:rFonts w:hint="eastAsia" w:ascii="仿宋" w:hAnsi="仿宋" w:eastAsia="仿宋" w:cs="仿宋"/>
          <w:snapToGrid w:val="0"/>
          <w:color w:val="auto"/>
          <w:sz w:val="24"/>
          <w:szCs w:val="24"/>
        </w:rPr>
        <w:t>调整（使</w:t>
      </w:r>
      <w:r>
        <w:rPr>
          <w:rFonts w:hint="eastAsia" w:ascii="仿宋" w:hAnsi="仿宋" w:eastAsia="仿宋" w:cs="仿宋"/>
          <w:snapToGrid w:val="0"/>
          <w:color w:val="auto"/>
          <w:spacing w:val="-2"/>
          <w:sz w:val="24"/>
          <w:szCs w:val="24"/>
        </w:rPr>
        <w:t>用或闲置）。</w:t>
      </w:r>
    </w:p>
    <w:p w14:paraId="13A46633">
      <w:pPr>
        <w:kinsoku w:val="0"/>
        <w:autoSpaceDE w:val="0"/>
        <w:autoSpaceDN w:val="0"/>
        <w:adjustRightInd w:val="0"/>
        <w:snapToGrid w:val="0"/>
        <w:spacing w:line="360" w:lineRule="auto"/>
        <w:ind w:left="527"/>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8"/>
          <w:sz w:val="24"/>
          <w:szCs w:val="24"/>
        </w:rPr>
        <w:t>1、大楼新建或拆除调整规则</w:t>
      </w:r>
    </w:p>
    <w:p w14:paraId="2C1D80D3">
      <w:pPr>
        <w:kinsoku w:val="0"/>
        <w:autoSpaceDE w:val="0"/>
        <w:autoSpaceDN w:val="0"/>
        <w:adjustRightInd w:val="0"/>
        <w:snapToGrid w:val="0"/>
        <w:spacing w:line="360" w:lineRule="auto"/>
        <w:ind w:left="15" w:leftChars="7" w:right="4" w:firstLine="403" w:firstLineChars="153"/>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12"/>
          <w:sz w:val="24"/>
          <w:szCs w:val="24"/>
        </w:rPr>
        <w:t>（</w:t>
      </w:r>
      <w:r>
        <w:rPr>
          <w:rFonts w:hint="eastAsia" w:ascii="仿宋" w:hAnsi="仿宋" w:eastAsia="仿宋" w:cs="仿宋"/>
          <w:snapToGrid w:val="0"/>
          <w:color w:val="auto"/>
          <w:spacing w:val="12"/>
          <w:sz w:val="24"/>
          <w:szCs w:val="24"/>
          <w:lang w:val="en-US" w:eastAsia="zh-CN"/>
        </w:rPr>
        <w:t>1</w:t>
      </w:r>
      <w:r>
        <w:rPr>
          <w:rFonts w:hint="eastAsia" w:ascii="仿宋" w:hAnsi="仿宋" w:eastAsia="仿宋" w:cs="仿宋"/>
          <w:snapToGrid w:val="0"/>
          <w:color w:val="auto"/>
          <w:spacing w:val="12"/>
          <w:sz w:val="24"/>
          <w:szCs w:val="24"/>
        </w:rPr>
        <w:t>）大楼新建：在新建大楼用能趋于稳定之前</w:t>
      </w:r>
      <w:r>
        <w:rPr>
          <w:rFonts w:hint="eastAsia" w:ascii="仿宋" w:hAnsi="仿宋" w:eastAsia="仿宋" w:cs="仿宋"/>
          <w:snapToGrid w:val="0"/>
          <w:color w:val="auto"/>
          <w:spacing w:val="-58"/>
          <w:sz w:val="24"/>
          <w:szCs w:val="24"/>
        </w:rPr>
        <w:t xml:space="preserve"> </w:t>
      </w:r>
      <w:r>
        <w:rPr>
          <w:rFonts w:hint="eastAsia" w:ascii="仿宋" w:hAnsi="仿宋" w:eastAsia="仿宋" w:cs="仿宋"/>
          <w:snapToGrid w:val="0"/>
          <w:color w:val="auto"/>
          <w:spacing w:val="12"/>
          <w:sz w:val="24"/>
          <w:szCs w:val="24"/>
        </w:rPr>
        <w:t>，实报实销，</w:t>
      </w:r>
      <w:r>
        <w:rPr>
          <w:rFonts w:hint="eastAsia" w:ascii="仿宋" w:hAnsi="仿宋" w:eastAsia="仿宋" w:cs="仿宋"/>
          <w:snapToGrid w:val="0"/>
          <w:color w:val="auto"/>
          <w:spacing w:val="11"/>
          <w:sz w:val="24"/>
          <w:szCs w:val="24"/>
        </w:rPr>
        <w:t>需对新建大楼</w:t>
      </w:r>
      <w:r>
        <w:rPr>
          <w:rFonts w:hint="eastAsia" w:ascii="仿宋" w:hAnsi="仿宋" w:eastAsia="仿宋" w:cs="仿宋"/>
          <w:snapToGrid w:val="0"/>
          <w:color w:val="auto"/>
          <w:spacing w:val="1"/>
          <w:sz w:val="24"/>
          <w:szCs w:val="24"/>
        </w:rPr>
        <w:t>安装智能电表（如有）。</w:t>
      </w:r>
    </w:p>
    <w:p w14:paraId="5EA37A6C">
      <w:pPr>
        <w:kinsoku w:val="0"/>
        <w:autoSpaceDE w:val="0"/>
        <w:autoSpaceDN w:val="0"/>
        <w:adjustRightInd w:val="0"/>
        <w:snapToGrid w:val="0"/>
        <w:spacing w:line="360" w:lineRule="auto"/>
        <w:ind w:left="15" w:leftChars="7" w:right="14" w:firstLine="406" w:firstLineChars="153"/>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13"/>
          <w:sz w:val="24"/>
          <w:szCs w:val="24"/>
        </w:rPr>
        <w:t>（2）大楼拆除：</w:t>
      </w:r>
      <w:r>
        <w:rPr>
          <w:rFonts w:hint="eastAsia" w:ascii="仿宋" w:hAnsi="仿宋" w:eastAsia="仿宋" w:cs="仿宋"/>
          <w:snapToGrid w:val="0"/>
          <w:color w:val="auto"/>
          <w:spacing w:val="-63"/>
          <w:sz w:val="24"/>
          <w:szCs w:val="24"/>
        </w:rPr>
        <w:t xml:space="preserve"> </w:t>
      </w:r>
      <w:r>
        <w:rPr>
          <w:rFonts w:hint="eastAsia" w:ascii="仿宋" w:hAnsi="仿宋" w:eastAsia="仿宋" w:cs="仿宋"/>
          <w:snapToGrid w:val="0"/>
          <w:color w:val="auto"/>
          <w:spacing w:val="13"/>
          <w:sz w:val="24"/>
          <w:szCs w:val="24"/>
        </w:rPr>
        <w:t>在大楼拆除前安装智能电表（如有</w:t>
      </w:r>
      <w:r>
        <w:rPr>
          <w:rFonts w:hint="eastAsia" w:ascii="仿宋" w:hAnsi="仿宋" w:eastAsia="仿宋" w:cs="仿宋"/>
          <w:snapToGrid w:val="0"/>
          <w:color w:val="auto"/>
          <w:spacing w:val="-58"/>
          <w:w w:val="87"/>
          <w:sz w:val="24"/>
          <w:szCs w:val="24"/>
        </w:rPr>
        <w:t>），</w:t>
      </w:r>
      <w:r>
        <w:rPr>
          <w:rFonts w:hint="eastAsia" w:ascii="仿宋" w:hAnsi="仿宋" w:eastAsia="仿宋" w:cs="仿宋"/>
          <w:snapToGrid w:val="0"/>
          <w:color w:val="auto"/>
          <w:spacing w:val="13"/>
          <w:sz w:val="24"/>
          <w:szCs w:val="24"/>
        </w:rPr>
        <w:t>拆除后根据计量数值</w:t>
      </w:r>
      <w:r>
        <w:rPr>
          <w:rFonts w:hint="eastAsia" w:ascii="仿宋" w:hAnsi="仿宋" w:eastAsia="仿宋" w:cs="仿宋"/>
          <w:snapToGrid w:val="0"/>
          <w:color w:val="auto"/>
          <w:spacing w:val="8"/>
          <w:sz w:val="24"/>
          <w:szCs w:val="24"/>
        </w:rPr>
        <w:t>退减托管费用。</w:t>
      </w:r>
    </w:p>
    <w:p w14:paraId="7EDD0A6D">
      <w:pPr>
        <w:kinsoku w:val="0"/>
        <w:autoSpaceDE w:val="0"/>
        <w:autoSpaceDN w:val="0"/>
        <w:adjustRightInd w:val="0"/>
        <w:snapToGrid w:val="0"/>
        <w:spacing w:line="360" w:lineRule="auto"/>
        <w:ind w:left="17" w:right="14" w:firstLine="645"/>
        <w:textAlignment w:val="baseline"/>
        <w:rPr>
          <w:rFonts w:hint="eastAsia" w:ascii="仿宋" w:hAnsi="仿宋" w:eastAsia="仿宋" w:cs="仿宋"/>
          <w:snapToGrid w:val="0"/>
          <w:color w:val="auto"/>
          <w:spacing w:val="13"/>
          <w:sz w:val="24"/>
          <w:szCs w:val="24"/>
        </w:rPr>
      </w:pPr>
      <w:r>
        <w:rPr>
          <w:rFonts w:hint="eastAsia" w:ascii="仿宋" w:hAnsi="仿宋" w:eastAsia="仿宋" w:cs="仿宋"/>
          <w:snapToGrid w:val="0"/>
          <w:color w:val="auto"/>
          <w:spacing w:val="13"/>
          <w:sz w:val="24"/>
          <w:szCs w:val="24"/>
        </w:rPr>
        <w:t>2、已有大楼内功能区域调整（使用或闲置）调整规则</w:t>
      </w:r>
    </w:p>
    <w:p w14:paraId="7F8AC259">
      <w:pPr>
        <w:kinsoku w:val="0"/>
        <w:autoSpaceDE w:val="0"/>
        <w:autoSpaceDN w:val="0"/>
        <w:adjustRightInd w:val="0"/>
        <w:snapToGrid w:val="0"/>
        <w:spacing w:line="360" w:lineRule="auto"/>
        <w:ind w:left="12" w:right="24" w:firstLine="635"/>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10"/>
          <w:sz w:val="24"/>
          <w:szCs w:val="24"/>
        </w:rPr>
        <w:t>根据该楼栋目前实际使用面积的能源单耗进行托管。假定目前实际投用面</w:t>
      </w:r>
      <w:r>
        <w:rPr>
          <w:rFonts w:hint="eastAsia" w:ascii="仿宋" w:hAnsi="仿宋" w:eastAsia="仿宋" w:cs="仿宋"/>
          <w:snapToGrid w:val="0"/>
          <w:color w:val="auto"/>
          <w:spacing w:val="13"/>
          <w:sz w:val="24"/>
          <w:szCs w:val="24"/>
        </w:rPr>
        <w:t>积为A，能源用量为B（用户端</w:t>
      </w:r>
      <w:r>
        <w:rPr>
          <w:rFonts w:hint="eastAsia" w:ascii="仿宋" w:hAnsi="仿宋" w:eastAsia="仿宋" w:cs="仿宋"/>
          <w:snapToGrid w:val="0"/>
          <w:color w:val="auto"/>
          <w:spacing w:val="13"/>
          <w:sz w:val="24"/>
          <w:szCs w:val="24"/>
          <w:lang w:eastAsia="zh-CN"/>
        </w:rPr>
        <w:t>，</w:t>
      </w:r>
      <w:r>
        <w:rPr>
          <w:rFonts w:hint="eastAsia" w:ascii="仿宋" w:hAnsi="仿宋" w:eastAsia="仿宋" w:cs="仿宋"/>
          <w:snapToGrid w:val="0"/>
          <w:color w:val="auto"/>
          <w:spacing w:val="13"/>
          <w:sz w:val="24"/>
          <w:szCs w:val="24"/>
        </w:rPr>
        <w:t>不含能源站生产端</w:t>
      </w:r>
      <w:r>
        <w:rPr>
          <w:rFonts w:hint="eastAsia" w:ascii="仿宋" w:hAnsi="仿宋" w:eastAsia="仿宋" w:cs="仿宋"/>
          <w:snapToGrid w:val="0"/>
          <w:color w:val="auto"/>
          <w:spacing w:val="13"/>
          <w:sz w:val="24"/>
          <w:szCs w:val="24"/>
          <w:lang w:eastAsia="zh-CN"/>
        </w:rPr>
        <w:t>，</w:t>
      </w:r>
      <w:r>
        <w:rPr>
          <w:rFonts w:hint="eastAsia" w:ascii="仿宋" w:hAnsi="仿宋" w:eastAsia="仿宋" w:cs="仿宋"/>
          <w:snapToGrid w:val="0"/>
          <w:color w:val="auto"/>
          <w:spacing w:val="13"/>
          <w:sz w:val="24"/>
          <w:szCs w:val="24"/>
        </w:rPr>
        <w:t>包括电</w:t>
      </w:r>
      <w:r>
        <w:rPr>
          <w:rFonts w:hint="eastAsia" w:ascii="仿宋" w:hAnsi="仿宋" w:eastAsia="仿宋" w:cs="仿宋"/>
          <w:snapToGrid w:val="0"/>
          <w:color w:val="auto"/>
          <w:spacing w:val="-59"/>
          <w:sz w:val="24"/>
          <w:szCs w:val="24"/>
          <w:lang w:eastAsia="zh-CN"/>
        </w:rPr>
        <w:t>、</w:t>
      </w:r>
      <w:r>
        <w:rPr>
          <w:rFonts w:hint="eastAsia" w:ascii="仿宋" w:hAnsi="仿宋" w:eastAsia="仿宋" w:cs="仿宋"/>
          <w:snapToGrid w:val="0"/>
          <w:color w:val="auto"/>
          <w:spacing w:val="13"/>
          <w:sz w:val="24"/>
          <w:szCs w:val="24"/>
        </w:rPr>
        <w:t>空调</w:t>
      </w:r>
      <w:r>
        <w:rPr>
          <w:rFonts w:hint="eastAsia" w:ascii="仿宋" w:hAnsi="仿宋" w:eastAsia="仿宋" w:cs="仿宋"/>
          <w:snapToGrid w:val="0"/>
          <w:color w:val="auto"/>
          <w:spacing w:val="13"/>
          <w:sz w:val="24"/>
          <w:szCs w:val="24"/>
          <w:lang w:eastAsia="zh-CN"/>
        </w:rPr>
        <w:t>、</w:t>
      </w:r>
      <w:r>
        <w:rPr>
          <w:rFonts w:hint="eastAsia" w:ascii="仿宋" w:hAnsi="仿宋" w:eastAsia="仿宋" w:cs="仿宋"/>
          <w:snapToGrid w:val="0"/>
          <w:color w:val="auto"/>
          <w:spacing w:val="13"/>
          <w:sz w:val="24"/>
          <w:szCs w:val="24"/>
          <w:lang w:val="en-US" w:eastAsia="zh-CN"/>
        </w:rPr>
        <w:t>采暖等</w:t>
      </w:r>
      <w:r>
        <w:rPr>
          <w:rFonts w:hint="eastAsia" w:ascii="仿宋" w:hAnsi="仿宋" w:eastAsia="仿宋" w:cs="仿宋"/>
          <w:snapToGrid w:val="0"/>
          <w:color w:val="auto"/>
          <w:spacing w:val="-59"/>
          <w:w w:val="88"/>
          <w:sz w:val="24"/>
          <w:szCs w:val="24"/>
        </w:rPr>
        <w:t>），</w:t>
      </w:r>
      <w:r>
        <w:rPr>
          <w:rFonts w:hint="eastAsia" w:ascii="仿宋" w:hAnsi="仿宋" w:eastAsia="仿宋" w:cs="仿宋"/>
          <w:snapToGrid w:val="0"/>
          <w:color w:val="auto"/>
          <w:spacing w:val="14"/>
          <w:sz w:val="24"/>
          <w:szCs w:val="24"/>
        </w:rPr>
        <w:t>则对应能源单耗为B/</w:t>
      </w:r>
      <w:r>
        <w:rPr>
          <w:rFonts w:hint="eastAsia" w:ascii="仿宋" w:hAnsi="仿宋" w:eastAsia="仿宋" w:cs="仿宋"/>
          <w:snapToGrid w:val="0"/>
          <w:color w:val="auto"/>
          <w:spacing w:val="14"/>
          <w:sz w:val="24"/>
          <w:szCs w:val="24"/>
          <w:lang w:val="en-US" w:eastAsia="zh-CN"/>
        </w:rPr>
        <w:t>A。如</w:t>
      </w:r>
      <w:r>
        <w:rPr>
          <w:rFonts w:hint="eastAsia"/>
        </w:rPr>
        <w:t>果</w:t>
      </w:r>
      <w:r>
        <w:rPr>
          <w:rFonts w:hint="eastAsia" w:ascii="仿宋" w:hAnsi="仿宋" w:eastAsia="仿宋" w:cs="仿宋"/>
          <w:snapToGrid w:val="0"/>
          <w:color w:val="auto"/>
          <w:spacing w:val="14"/>
          <w:sz w:val="24"/>
          <w:szCs w:val="24"/>
        </w:rPr>
        <w:t>大</w:t>
      </w:r>
      <w:r>
        <w:rPr>
          <w:rFonts w:hint="eastAsia" w:ascii="仿宋" w:hAnsi="仿宋" w:eastAsia="仿宋" w:cs="仿宋"/>
          <w:snapToGrid w:val="0"/>
          <w:color w:val="auto"/>
          <w:spacing w:val="14"/>
          <w:sz w:val="24"/>
          <w:szCs w:val="24"/>
          <w:lang w:val="en-US" w:eastAsia="zh-CN"/>
        </w:rPr>
        <w:t>楼内</w:t>
      </w:r>
      <w:r>
        <w:rPr>
          <w:rFonts w:hint="eastAsia" w:ascii="仿宋" w:hAnsi="仿宋" w:eastAsia="仿宋" w:cs="仿宋"/>
          <w:snapToGrid w:val="0"/>
          <w:color w:val="auto"/>
          <w:spacing w:val="14"/>
          <w:sz w:val="24"/>
          <w:szCs w:val="24"/>
        </w:rPr>
        <w:t>功能区域调整（使用或闲置）</w:t>
      </w:r>
      <w:r>
        <w:rPr>
          <w:rFonts w:hint="eastAsia" w:ascii="仿宋" w:hAnsi="仿宋" w:eastAsia="仿宋" w:cs="仿宋"/>
          <w:snapToGrid w:val="0"/>
          <w:color w:val="auto"/>
          <w:spacing w:val="14"/>
          <w:sz w:val="24"/>
          <w:szCs w:val="24"/>
          <w:lang w:val="en-US" w:eastAsia="zh-CN"/>
        </w:rPr>
        <w:t>面积为</w:t>
      </w:r>
      <w:r>
        <w:rPr>
          <w:rFonts w:hint="eastAsia" w:ascii="仿宋" w:hAnsi="仿宋" w:eastAsia="仿宋" w:cs="仿宋"/>
          <w:snapToGrid w:val="0"/>
          <w:color w:val="auto"/>
          <w:spacing w:val="-10"/>
          <w:sz w:val="24"/>
          <w:szCs w:val="24"/>
          <w:lang w:eastAsia="en-US"/>
        </w:rPr>
        <w:t>Δ</w:t>
      </w:r>
      <w:r>
        <w:rPr>
          <w:rFonts w:hint="eastAsia" w:ascii="仿宋" w:hAnsi="仿宋" w:eastAsia="仿宋" w:cs="仿宋"/>
          <w:snapToGrid w:val="0"/>
          <w:color w:val="auto"/>
          <w:spacing w:val="-10"/>
          <w:sz w:val="24"/>
          <w:szCs w:val="24"/>
        </w:rPr>
        <w:t>C，则调整能源用量=B/A×</w:t>
      </w:r>
      <w:r>
        <w:rPr>
          <w:rFonts w:hint="eastAsia" w:ascii="仿宋" w:hAnsi="仿宋" w:eastAsia="仿宋" w:cs="仿宋"/>
          <w:snapToGrid w:val="0"/>
          <w:color w:val="auto"/>
          <w:spacing w:val="-10"/>
          <w:sz w:val="24"/>
          <w:szCs w:val="24"/>
          <w:lang w:eastAsia="en-US"/>
        </w:rPr>
        <w:t>Δ</w:t>
      </w:r>
      <w:r>
        <w:rPr>
          <w:rFonts w:hint="eastAsia" w:ascii="仿宋" w:hAnsi="仿宋" w:eastAsia="仿宋" w:cs="仿宋"/>
          <w:snapToGrid w:val="0"/>
          <w:color w:val="auto"/>
          <w:spacing w:val="-10"/>
          <w:sz w:val="24"/>
          <w:szCs w:val="24"/>
        </w:rPr>
        <w:t>C。</w:t>
      </w:r>
    </w:p>
    <w:p w14:paraId="1A26EE26">
      <w:pPr>
        <w:ind w:left="0" w:leftChars="0" w:firstLine="418" w:firstLineChars="161"/>
        <w:rPr>
          <w:rFonts w:hint="eastAsia"/>
        </w:rPr>
      </w:pPr>
      <w:r>
        <w:rPr>
          <w:rFonts w:hint="eastAsia" w:ascii="仿宋" w:hAnsi="仿宋" w:eastAsia="仿宋" w:cs="仿宋"/>
          <w:snapToGrid w:val="0"/>
          <w:color w:val="auto"/>
          <w:spacing w:val="10"/>
          <w:sz w:val="24"/>
          <w:szCs w:val="24"/>
        </w:rPr>
        <w:t>第二</w:t>
      </w:r>
      <w:r>
        <w:rPr>
          <w:rFonts w:hint="eastAsia" w:ascii="仿宋" w:hAnsi="仿宋" w:eastAsia="仿宋" w:cs="仿宋"/>
          <w:snapToGrid w:val="0"/>
          <w:color w:val="auto"/>
          <w:spacing w:val="10"/>
          <w:sz w:val="24"/>
          <w:szCs w:val="24"/>
          <w:lang w:val="en-US" w:eastAsia="zh-CN"/>
        </w:rPr>
        <w:t>阶段</w:t>
      </w:r>
      <w:r>
        <w:rPr>
          <w:rFonts w:hint="eastAsia" w:ascii="仿宋" w:hAnsi="仿宋" w:eastAsia="仿宋" w:cs="仿宋"/>
          <w:snapToGrid w:val="0"/>
          <w:color w:val="auto"/>
          <w:spacing w:val="10"/>
          <w:sz w:val="24"/>
          <w:szCs w:val="24"/>
        </w:rPr>
        <w:t>在具备能源站计量条件的基础上，根据能源站用量、能源站外用电等变化进行调整。</w:t>
      </w:r>
    </w:p>
    <w:p w14:paraId="27A22812">
      <w:pPr>
        <w:spacing w:line="360" w:lineRule="auto"/>
        <w:ind w:firstLine="480" w:firstLineChars="200"/>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b.第二阶段能源费用调整规则</w:t>
      </w:r>
    </w:p>
    <w:p w14:paraId="21AD9183">
      <w:pPr>
        <w:keepNext w:val="0"/>
        <w:keepLines w:val="0"/>
        <w:pageBreakBefore w:val="0"/>
        <w:widowControl w:val="0"/>
        <w:numPr>
          <w:ilvl w:val="0"/>
          <w:numId w:val="0"/>
        </w:numPr>
        <w:kinsoku/>
        <w:wordWrap/>
        <w:overflowPunct/>
        <w:topLinePunct w:val="0"/>
        <w:autoSpaceDE/>
        <w:autoSpaceDN/>
        <w:bidi w:val="0"/>
        <w:adjustRightInd/>
        <w:snapToGrid/>
        <w:ind w:left="0" w:leftChars="0" w:firstLine="419" w:firstLineChars="165"/>
        <w:textAlignment w:val="auto"/>
        <w:rPr>
          <w:rFonts w:hint="eastAsia" w:ascii="仿宋" w:hAnsi="仿宋" w:eastAsia="仿宋" w:cs="仿宋"/>
          <w:snapToGrid w:val="0"/>
          <w:color w:val="auto"/>
          <w:spacing w:val="7"/>
          <w:sz w:val="24"/>
          <w:szCs w:val="24"/>
          <w:lang w:val="en-US" w:eastAsia="zh-CN"/>
        </w:rPr>
      </w:pPr>
      <w:r>
        <w:rPr>
          <w:rFonts w:hint="eastAsia" w:ascii="仿宋" w:hAnsi="仿宋" w:eastAsia="仿宋" w:cs="仿宋"/>
          <w:snapToGrid w:val="0"/>
          <w:color w:val="auto"/>
          <w:spacing w:val="7"/>
          <w:kern w:val="2"/>
          <w:sz w:val="24"/>
          <w:szCs w:val="24"/>
          <w:lang w:val="en-US" w:eastAsia="zh-CN" w:bidi="ar-SA"/>
        </w:rPr>
        <w:t>1、</w:t>
      </w:r>
      <w:r>
        <w:rPr>
          <w:rFonts w:hint="eastAsia" w:ascii="仿宋" w:hAnsi="仿宋" w:eastAsia="仿宋" w:cs="仿宋"/>
          <w:snapToGrid w:val="0"/>
          <w:color w:val="auto"/>
          <w:spacing w:val="10"/>
          <w:sz w:val="24"/>
          <w:szCs w:val="24"/>
        </w:rPr>
        <w:t>进入托管期</w:t>
      </w:r>
      <w:r>
        <w:rPr>
          <w:rFonts w:hint="eastAsia" w:ascii="仿宋" w:hAnsi="仿宋" w:eastAsia="仿宋" w:cs="仿宋"/>
          <w:snapToGrid w:val="0"/>
          <w:color w:val="auto"/>
          <w:spacing w:val="10"/>
          <w:sz w:val="24"/>
          <w:szCs w:val="24"/>
          <w:lang w:val="en-US" w:eastAsia="zh-CN"/>
        </w:rPr>
        <w:t>后</w:t>
      </w:r>
      <w:r>
        <w:rPr>
          <w:rFonts w:hint="eastAsia" w:ascii="仿宋" w:hAnsi="仿宋" w:eastAsia="仿宋" w:cs="仿宋"/>
          <w:snapToGrid w:val="0"/>
          <w:color w:val="auto"/>
          <w:spacing w:val="10"/>
          <w:sz w:val="24"/>
          <w:szCs w:val="24"/>
        </w:rPr>
        <w:t>，记录第一年能源站电量和冷热</w:t>
      </w:r>
      <w:r>
        <w:rPr>
          <w:rFonts w:hint="eastAsia" w:ascii="仿宋" w:hAnsi="仿宋" w:eastAsia="仿宋" w:cs="仿宋"/>
          <w:snapToGrid w:val="0"/>
          <w:color w:val="auto"/>
          <w:spacing w:val="10"/>
          <w:sz w:val="24"/>
          <w:szCs w:val="24"/>
          <w:lang w:val="en-US" w:eastAsia="zh-CN"/>
        </w:rPr>
        <w:t>量</w:t>
      </w:r>
      <w:r>
        <w:rPr>
          <w:rFonts w:hint="eastAsia" w:ascii="仿宋" w:hAnsi="仿宋" w:eastAsia="仿宋" w:cs="仿宋"/>
          <w:snapToGrid w:val="0"/>
          <w:color w:val="auto"/>
          <w:spacing w:val="10"/>
          <w:sz w:val="24"/>
          <w:szCs w:val="24"/>
          <w:lang w:eastAsia="zh-CN"/>
        </w:rPr>
        <w:t>，</w:t>
      </w:r>
      <w:r>
        <w:rPr>
          <w:rFonts w:hint="eastAsia" w:ascii="仿宋" w:hAnsi="仿宋" w:eastAsia="仿宋" w:cs="仿宋"/>
          <w:snapToGrid w:val="0"/>
          <w:color w:val="auto"/>
          <w:spacing w:val="10"/>
          <w:sz w:val="24"/>
          <w:szCs w:val="24"/>
        </w:rPr>
        <w:t>在具备能源站计量数据的</w:t>
      </w:r>
      <w:r>
        <w:rPr>
          <w:rFonts w:hint="eastAsia" w:ascii="仿宋" w:hAnsi="仿宋" w:eastAsia="仿宋" w:cs="仿宋"/>
          <w:snapToGrid w:val="0"/>
          <w:color w:val="auto"/>
          <w:spacing w:val="7"/>
          <w:sz w:val="24"/>
          <w:szCs w:val="24"/>
        </w:rPr>
        <w:t>基础上</w:t>
      </w:r>
      <w:r>
        <w:rPr>
          <w:rFonts w:hint="eastAsia" w:ascii="仿宋" w:hAnsi="仿宋" w:eastAsia="仿宋" w:cs="仿宋"/>
          <w:snapToGrid w:val="0"/>
          <w:color w:val="auto"/>
          <w:spacing w:val="-69"/>
          <w:sz w:val="24"/>
          <w:szCs w:val="24"/>
          <w:lang w:eastAsia="zh-CN"/>
        </w:rPr>
        <w:t>，</w:t>
      </w:r>
      <w:r>
        <w:rPr>
          <w:rFonts w:hint="eastAsia" w:ascii="仿宋" w:hAnsi="仿宋" w:eastAsia="仿宋" w:cs="仿宋"/>
          <w:snapToGrid w:val="0"/>
          <w:color w:val="auto"/>
          <w:spacing w:val="7"/>
          <w:sz w:val="24"/>
          <w:szCs w:val="24"/>
        </w:rPr>
        <w:t>根据能源站用</w:t>
      </w:r>
      <w:r>
        <w:rPr>
          <w:rFonts w:hint="eastAsia" w:ascii="仿宋" w:hAnsi="仿宋" w:eastAsia="仿宋" w:cs="仿宋"/>
          <w:snapToGrid w:val="0"/>
          <w:color w:val="auto"/>
          <w:spacing w:val="7"/>
          <w:sz w:val="24"/>
          <w:szCs w:val="24"/>
          <w:lang w:val="en-US" w:eastAsia="zh-CN"/>
        </w:rPr>
        <w:t>量</w:t>
      </w:r>
      <w:r>
        <w:rPr>
          <w:rFonts w:hint="eastAsia" w:ascii="仿宋" w:hAnsi="仿宋" w:eastAsia="仿宋" w:cs="仿宋"/>
          <w:snapToGrid w:val="0"/>
          <w:color w:val="auto"/>
          <w:spacing w:val="7"/>
          <w:sz w:val="24"/>
          <w:szCs w:val="24"/>
        </w:rPr>
        <w:t>、能源站外用电等变化进行调整</w:t>
      </w:r>
      <w:r>
        <w:rPr>
          <w:rFonts w:hint="eastAsia" w:ascii="仿宋" w:hAnsi="仿宋" w:eastAsia="仿宋" w:cs="仿宋"/>
          <w:snapToGrid w:val="0"/>
          <w:color w:val="auto"/>
          <w:spacing w:val="7"/>
          <w:sz w:val="24"/>
          <w:szCs w:val="24"/>
          <w:lang w:val="en-US" w:eastAsia="zh-CN"/>
        </w:rPr>
        <w:t>（能源站：中央空调主系统、照明系统，</w:t>
      </w:r>
      <w:r>
        <w:rPr>
          <w:rFonts w:hint="eastAsia" w:ascii="仿宋" w:hAnsi="仿宋" w:eastAsia="仿宋" w:cs="仿宋"/>
          <w:snapToGrid w:val="0"/>
          <w:color w:val="auto"/>
          <w:spacing w:val="7"/>
          <w:sz w:val="24"/>
          <w:szCs w:val="24"/>
          <w:lang w:val="en-US" w:eastAsia="zh-CN"/>
        </w:rPr>
        <w:t>给排水系统</w:t>
      </w:r>
      <w:r>
        <w:rPr>
          <w:rFonts w:hint="eastAsia" w:ascii="仿宋" w:hAnsi="仿宋" w:eastAsia="仿宋" w:cs="仿宋"/>
          <w:snapToGrid w:val="0"/>
          <w:color w:val="auto"/>
          <w:spacing w:val="7"/>
          <w:sz w:val="24"/>
          <w:szCs w:val="24"/>
          <w:lang w:val="en-US" w:eastAsia="zh-CN"/>
        </w:rPr>
        <w:t>即做节能改造的内容；能源站外用电=医院总用电-能源站用电）</w:t>
      </w:r>
    </w:p>
    <w:p w14:paraId="360ABA9E">
      <w:pPr>
        <w:kinsoku w:val="0"/>
        <w:autoSpaceDE w:val="0"/>
        <w:autoSpaceDN w:val="0"/>
        <w:adjustRightInd w:val="0"/>
        <w:snapToGrid w:val="0"/>
        <w:spacing w:line="360" w:lineRule="auto"/>
        <w:ind w:left="0" w:leftChars="0" w:firstLine="422" w:firstLineChars="165"/>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8"/>
          <w:sz w:val="24"/>
          <w:szCs w:val="24"/>
        </w:rPr>
        <w:t>1</w:t>
      </w:r>
      <w:r>
        <w:rPr>
          <w:rFonts w:hint="eastAsia" w:ascii="仿宋" w:hAnsi="仿宋" w:eastAsia="仿宋" w:cs="仿宋"/>
          <w:snapToGrid w:val="0"/>
          <w:color w:val="auto"/>
          <w:spacing w:val="8"/>
          <w:sz w:val="24"/>
          <w:szCs w:val="24"/>
          <w:lang w:val="en-US" w:eastAsia="zh-CN"/>
        </w:rPr>
        <w:t>.</w:t>
      </w:r>
      <w:r>
        <w:rPr>
          <w:rFonts w:hint="eastAsia" w:ascii="仿宋" w:hAnsi="仿宋" w:eastAsia="仿宋" w:cs="仿宋"/>
          <w:snapToGrid w:val="0"/>
          <w:color w:val="auto"/>
          <w:spacing w:val="8"/>
          <w:sz w:val="24"/>
          <w:szCs w:val="24"/>
        </w:rPr>
        <w:t>能源站用量变化调整规则</w:t>
      </w:r>
    </w:p>
    <w:p w14:paraId="163AF016">
      <w:pPr>
        <w:kinsoku w:val="0"/>
        <w:autoSpaceDE w:val="0"/>
        <w:autoSpaceDN w:val="0"/>
        <w:adjustRightInd w:val="0"/>
        <w:snapToGrid w:val="0"/>
        <w:spacing w:line="360" w:lineRule="auto"/>
        <w:ind w:left="12" w:right="24" w:firstLine="635"/>
        <w:textAlignment w:val="baseline"/>
        <w:rPr>
          <w:rFonts w:hint="eastAsia" w:ascii="仿宋" w:hAnsi="仿宋" w:eastAsia="仿宋" w:cs="仿宋"/>
          <w:snapToGrid w:val="0"/>
          <w:color w:val="auto"/>
          <w:spacing w:val="10"/>
          <w:sz w:val="24"/>
          <w:szCs w:val="24"/>
          <w:lang w:val="en-US" w:eastAsia="zh-CN"/>
        </w:rPr>
      </w:pPr>
      <w:r>
        <w:rPr>
          <w:rFonts w:hint="eastAsia" w:ascii="仿宋" w:hAnsi="仿宋" w:eastAsia="仿宋" w:cs="仿宋"/>
          <w:snapToGrid w:val="0"/>
          <w:color w:val="auto"/>
          <w:spacing w:val="10"/>
          <w:sz w:val="24"/>
          <w:szCs w:val="24"/>
          <w:lang w:val="en-US" w:eastAsia="zh-CN"/>
        </w:rPr>
        <w:t>空调冷量、采暖热量、用水量等能源用量属于医院能源客观需求量，与舒适品质、天气状况、用能面积、用能时间等有很大关系，为更好的向医院提供能源服务，减少因医院客观能源需求量变化而带来的影响，实现公平公正的多退少补，双方约定，当能源站使用量发生变化时，参考如下规则进行调整：</w:t>
      </w:r>
    </w:p>
    <w:p w14:paraId="0666BE28">
      <w:pPr>
        <w:kinsoku w:val="0"/>
        <w:autoSpaceDE w:val="0"/>
        <w:autoSpaceDN w:val="0"/>
        <w:adjustRightInd w:val="0"/>
        <w:snapToGrid w:val="0"/>
        <w:spacing w:line="360" w:lineRule="auto"/>
        <w:ind w:left="11"/>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5"/>
          <w:sz w:val="24"/>
          <w:szCs w:val="24"/>
        </w:rPr>
        <w:t>（1）</w:t>
      </w:r>
      <w:r>
        <w:rPr>
          <w:rFonts w:hint="eastAsia" w:ascii="仿宋" w:hAnsi="仿宋" w:eastAsia="仿宋" w:cs="仿宋"/>
          <w:snapToGrid w:val="0"/>
          <w:color w:val="auto"/>
          <w:spacing w:val="-63"/>
          <w:sz w:val="24"/>
          <w:szCs w:val="24"/>
        </w:rPr>
        <w:t xml:space="preserve"> </w:t>
      </w:r>
      <w:r>
        <w:rPr>
          <w:rFonts w:hint="eastAsia" w:ascii="仿宋" w:hAnsi="仿宋" w:eastAsia="仿宋" w:cs="仿宋"/>
          <w:snapToGrid w:val="0"/>
          <w:color w:val="auto"/>
          <w:spacing w:val="5"/>
          <w:sz w:val="24"/>
          <w:szCs w:val="24"/>
        </w:rPr>
        <w:t>能源站冷热量基准</w:t>
      </w:r>
    </w:p>
    <w:p w14:paraId="6F3FE74D">
      <w:pPr>
        <w:kinsoku w:val="0"/>
        <w:autoSpaceDE w:val="0"/>
        <w:autoSpaceDN w:val="0"/>
        <w:adjustRightInd w:val="0"/>
        <w:snapToGrid w:val="0"/>
        <w:spacing w:line="360" w:lineRule="auto"/>
        <w:ind w:left="12" w:right="24" w:firstLine="635"/>
        <w:textAlignment w:val="baseline"/>
        <w:rPr>
          <w:rFonts w:hint="eastAsia" w:ascii="仿宋" w:hAnsi="仿宋" w:eastAsia="仿宋" w:cs="仿宋"/>
          <w:snapToGrid w:val="0"/>
          <w:color w:val="auto"/>
          <w:spacing w:val="10"/>
          <w:sz w:val="24"/>
          <w:szCs w:val="24"/>
          <w:lang w:val="en-US" w:eastAsia="zh-CN"/>
        </w:rPr>
      </w:pPr>
      <w:r>
        <w:rPr>
          <w:rFonts w:hint="eastAsia" w:ascii="仿宋" w:hAnsi="仿宋" w:eastAsia="仿宋" w:cs="仿宋"/>
          <w:snapToGrid w:val="0"/>
          <w:color w:val="auto"/>
          <w:spacing w:val="10"/>
          <w:sz w:val="24"/>
          <w:szCs w:val="24"/>
          <w:lang w:val="en-US" w:eastAsia="zh-CN"/>
        </w:rPr>
        <w:t>输出：能源站安装冷热量表，分别记录输出冷热量D1、E1kWh（包含空调输出冷量、采暖输出热量）。</w:t>
      </w:r>
    </w:p>
    <w:p w14:paraId="4A6F24A4">
      <w:pPr>
        <w:kinsoku w:val="0"/>
        <w:autoSpaceDE w:val="0"/>
        <w:autoSpaceDN w:val="0"/>
        <w:adjustRightInd w:val="0"/>
        <w:snapToGrid w:val="0"/>
        <w:spacing w:line="360" w:lineRule="auto"/>
        <w:ind w:left="11"/>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7"/>
          <w:sz w:val="24"/>
          <w:szCs w:val="24"/>
        </w:rPr>
        <w:t>（2）能源站电量基准</w:t>
      </w:r>
    </w:p>
    <w:p w14:paraId="6A96AFD6">
      <w:pPr>
        <w:kinsoku w:val="0"/>
        <w:autoSpaceDE w:val="0"/>
        <w:autoSpaceDN w:val="0"/>
        <w:adjustRightInd w:val="0"/>
        <w:snapToGrid w:val="0"/>
        <w:spacing w:line="360" w:lineRule="auto"/>
        <w:ind w:left="12" w:right="24" w:firstLine="635"/>
        <w:textAlignment w:val="baseline"/>
        <w:rPr>
          <w:rFonts w:hint="eastAsia" w:ascii="仿宋" w:hAnsi="仿宋" w:eastAsia="仿宋" w:cs="仿宋"/>
          <w:snapToGrid w:val="0"/>
          <w:color w:val="auto"/>
          <w:spacing w:val="10"/>
          <w:sz w:val="24"/>
          <w:szCs w:val="24"/>
          <w:lang w:val="en-US" w:eastAsia="zh-CN"/>
        </w:rPr>
      </w:pPr>
      <w:r>
        <w:rPr>
          <w:rFonts w:hint="eastAsia" w:ascii="仿宋" w:hAnsi="仿宋" w:eastAsia="仿宋" w:cs="仿宋"/>
          <w:snapToGrid w:val="0"/>
          <w:color w:val="auto"/>
          <w:spacing w:val="10"/>
          <w:sz w:val="24"/>
          <w:szCs w:val="24"/>
          <w:lang w:val="en-US" w:eastAsia="zh-CN"/>
        </w:rPr>
        <w:t>输入：能源站安装计量电表，分别记录消耗电量为A1、B1kWh。</w:t>
      </w:r>
    </w:p>
    <w:p w14:paraId="0F63EAEF">
      <w:pPr>
        <w:kinsoku w:val="0"/>
        <w:autoSpaceDE w:val="0"/>
        <w:autoSpaceDN w:val="0"/>
        <w:adjustRightInd w:val="0"/>
        <w:snapToGrid w:val="0"/>
        <w:spacing w:line="360" w:lineRule="auto"/>
        <w:ind w:left="11"/>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7"/>
          <w:sz w:val="24"/>
          <w:szCs w:val="24"/>
        </w:rPr>
        <w:t>（3）能源站费用调整</w:t>
      </w:r>
    </w:p>
    <w:p w14:paraId="69933686">
      <w:pPr>
        <w:kinsoku w:val="0"/>
        <w:autoSpaceDE w:val="0"/>
        <w:autoSpaceDN w:val="0"/>
        <w:adjustRightInd w:val="0"/>
        <w:snapToGrid w:val="0"/>
        <w:spacing w:line="360" w:lineRule="auto"/>
        <w:ind w:right="56" w:firstLine="512" w:firstLineChars="200"/>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8"/>
          <w:sz w:val="24"/>
          <w:szCs w:val="24"/>
        </w:rPr>
        <w:t>当用能（冷热量）需求发生显著变化时</w:t>
      </w:r>
      <w:r>
        <w:rPr>
          <w:rFonts w:hint="eastAsia" w:ascii="仿宋" w:hAnsi="仿宋" w:eastAsia="仿宋" w:cs="仿宋"/>
          <w:snapToGrid w:val="0"/>
          <w:color w:val="auto"/>
          <w:spacing w:val="-58"/>
          <w:w w:val="86"/>
          <w:sz w:val="24"/>
          <w:szCs w:val="24"/>
        </w:rPr>
        <w:t>，</w:t>
      </w:r>
      <w:r>
        <w:rPr>
          <w:rFonts w:hint="eastAsia" w:ascii="仿宋" w:hAnsi="仿宋" w:eastAsia="仿宋" w:cs="仿宋"/>
          <w:snapToGrid w:val="0"/>
          <w:color w:val="auto"/>
          <w:spacing w:val="12"/>
          <w:sz w:val="24"/>
          <w:szCs w:val="24"/>
        </w:rPr>
        <w:t>对能源托管费用进行调整</w:t>
      </w:r>
      <w:r>
        <w:rPr>
          <w:rFonts w:hint="eastAsia" w:ascii="仿宋" w:hAnsi="仿宋" w:eastAsia="仿宋" w:cs="仿宋"/>
          <w:snapToGrid w:val="0"/>
          <w:color w:val="auto"/>
          <w:spacing w:val="12"/>
          <w:sz w:val="24"/>
          <w:szCs w:val="24"/>
          <w:lang w:eastAsia="zh-CN"/>
        </w:rPr>
        <w:t>，</w:t>
      </w:r>
      <w:r>
        <w:rPr>
          <w:rFonts w:hint="eastAsia" w:ascii="仿宋" w:hAnsi="仿宋" w:eastAsia="仿宋" w:cs="仿宋"/>
          <w:snapToGrid w:val="0"/>
          <w:color w:val="auto"/>
          <w:spacing w:val="12"/>
          <w:sz w:val="24"/>
          <w:szCs w:val="24"/>
        </w:rPr>
        <w:t>具体</w:t>
      </w:r>
      <w:r>
        <w:rPr>
          <w:rFonts w:hint="eastAsia" w:ascii="仿宋" w:hAnsi="仿宋" w:eastAsia="仿宋" w:cs="仿宋"/>
          <w:snapToGrid w:val="0"/>
          <w:color w:val="auto"/>
          <w:spacing w:val="11"/>
          <w:sz w:val="24"/>
          <w:szCs w:val="24"/>
        </w:rPr>
        <w:t>如下：</w:t>
      </w:r>
    </w:p>
    <w:p w14:paraId="5EB739E3">
      <w:pPr>
        <w:kinsoku w:val="0"/>
        <w:autoSpaceDE w:val="0"/>
        <w:autoSpaceDN w:val="0"/>
        <w:adjustRightInd w:val="0"/>
        <w:snapToGrid w:val="0"/>
        <w:spacing w:line="360" w:lineRule="auto"/>
        <w:ind w:right="56" w:firstLine="512" w:firstLineChars="200"/>
        <w:textAlignment w:val="baseline"/>
        <w:rPr>
          <w:rFonts w:hint="eastAsia" w:ascii="仿宋" w:hAnsi="仿宋" w:eastAsia="仿宋" w:cs="仿宋"/>
          <w:snapToGrid w:val="0"/>
          <w:color w:val="auto"/>
          <w:spacing w:val="8"/>
          <w:sz w:val="24"/>
          <w:szCs w:val="24"/>
        </w:rPr>
      </w:pPr>
      <w:r>
        <w:rPr>
          <w:rFonts w:hint="eastAsia" w:ascii="仿宋" w:hAnsi="仿宋" w:eastAsia="仿宋" w:cs="仿宋"/>
          <w:snapToGrid w:val="0"/>
          <w:color w:val="auto"/>
          <w:spacing w:val="8"/>
          <w:sz w:val="24"/>
          <w:szCs w:val="24"/>
        </w:rPr>
        <w:t>能源站费用调整：改造后年实际冷热量（空调冷量、采暖热量）若为D2、E2，则计算公式如下：</w:t>
      </w:r>
    </w:p>
    <w:p w14:paraId="326CE393">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3"/>
          <w:sz w:val="24"/>
          <w:szCs w:val="24"/>
        </w:rPr>
        <w:t>能源站调整费=（D2-D1）/D1*A1*当年平均电价+（E2-</w:t>
      </w:r>
      <w:r>
        <w:rPr>
          <w:rFonts w:hint="eastAsia" w:ascii="仿宋" w:hAnsi="仿宋" w:eastAsia="仿宋" w:cs="仿宋"/>
          <w:snapToGrid w:val="0"/>
          <w:color w:val="auto"/>
          <w:spacing w:val="-4"/>
          <w:sz w:val="24"/>
          <w:szCs w:val="24"/>
        </w:rPr>
        <w:t>E1）/E1*B1*当年平均电价</w:t>
      </w:r>
      <w:r>
        <w:rPr>
          <w:rFonts w:hint="eastAsia" w:ascii="仿宋" w:hAnsi="仿宋" w:eastAsia="仿宋" w:cs="仿宋"/>
          <w:snapToGrid w:val="0"/>
          <w:color w:val="auto"/>
          <w:spacing w:val="9"/>
          <w:sz w:val="24"/>
          <w:szCs w:val="24"/>
        </w:rPr>
        <w:t>。</w:t>
      </w:r>
      <w:r>
        <w:rPr>
          <w:rFonts w:hint="eastAsia" w:ascii="仿宋" w:hAnsi="仿宋" w:eastAsia="仿宋" w:cs="仿宋"/>
          <w:snapToGrid w:val="0"/>
          <w:color w:val="auto"/>
          <w:spacing w:val="8"/>
          <w:sz w:val="24"/>
          <w:szCs w:val="24"/>
        </w:rPr>
        <w:t>若能源用量发生较大变化</w:t>
      </w:r>
      <w:r>
        <w:rPr>
          <w:rFonts w:hint="eastAsia" w:ascii="仿宋" w:hAnsi="仿宋" w:eastAsia="仿宋" w:cs="仿宋"/>
          <w:snapToGrid w:val="0"/>
          <w:color w:val="auto"/>
          <w:spacing w:val="-34"/>
          <w:w w:val="51"/>
          <w:sz w:val="24"/>
          <w:szCs w:val="24"/>
        </w:rPr>
        <w:t>，</w:t>
      </w:r>
      <w:r>
        <w:rPr>
          <w:rFonts w:hint="eastAsia" w:ascii="仿宋" w:hAnsi="仿宋" w:eastAsia="仿宋" w:cs="仿宋"/>
          <w:snapToGrid w:val="0"/>
          <w:color w:val="auto"/>
          <w:spacing w:val="8"/>
          <w:sz w:val="24"/>
          <w:szCs w:val="24"/>
        </w:rPr>
        <w:t>双方</w:t>
      </w:r>
      <w:r>
        <w:rPr>
          <w:rFonts w:hint="eastAsia" w:ascii="仿宋" w:hAnsi="仿宋" w:eastAsia="仿宋" w:cs="仿宋"/>
          <w:snapToGrid w:val="0"/>
          <w:color w:val="auto"/>
          <w:spacing w:val="13"/>
          <w:sz w:val="24"/>
          <w:szCs w:val="24"/>
        </w:rPr>
        <w:t>可以签订补充协议进行协商约定。</w:t>
      </w:r>
    </w:p>
    <w:p w14:paraId="071B7BCC">
      <w:pPr>
        <w:kinsoku w:val="0"/>
        <w:autoSpaceDE w:val="0"/>
        <w:autoSpaceDN w:val="0"/>
        <w:adjustRightInd w:val="0"/>
        <w:snapToGrid w:val="0"/>
        <w:spacing w:line="360" w:lineRule="auto"/>
        <w:ind w:left="1"/>
        <w:textAlignment w:val="baseline"/>
        <w:rPr>
          <w:rFonts w:hint="eastAsia" w:ascii="仿宋" w:hAnsi="仿宋" w:eastAsia="仿宋" w:cs="仿宋"/>
          <w:snapToGrid w:val="0"/>
          <w:color w:val="auto"/>
          <w:sz w:val="24"/>
          <w:szCs w:val="24"/>
        </w:rPr>
      </w:pPr>
      <w:r>
        <w:rPr>
          <w:rFonts w:hint="eastAsia" w:ascii="仿宋" w:hAnsi="仿宋" w:eastAsia="仿宋" w:cs="仿宋"/>
          <w:snapToGrid w:val="0"/>
          <w:color w:val="auto"/>
          <w:spacing w:val="13"/>
          <w:sz w:val="24"/>
          <w:szCs w:val="24"/>
        </w:rPr>
        <w:t>2</w:t>
      </w:r>
      <w:r>
        <w:rPr>
          <w:rFonts w:hint="eastAsia" w:ascii="仿宋" w:hAnsi="仿宋" w:eastAsia="仿宋" w:cs="仿宋"/>
          <w:snapToGrid w:val="0"/>
          <w:color w:val="auto"/>
          <w:spacing w:val="13"/>
          <w:sz w:val="24"/>
          <w:szCs w:val="24"/>
          <w:lang w:val="en-US" w:eastAsia="zh-CN"/>
        </w:rPr>
        <w:t>.</w:t>
      </w:r>
      <w:r>
        <w:rPr>
          <w:rFonts w:hint="eastAsia" w:ascii="仿宋" w:hAnsi="仿宋" w:eastAsia="仿宋" w:cs="仿宋"/>
          <w:snapToGrid w:val="0"/>
          <w:color w:val="auto"/>
          <w:spacing w:val="13"/>
          <w:sz w:val="24"/>
          <w:szCs w:val="24"/>
        </w:rPr>
        <w:t>能源站外电量变化调整规则</w:t>
      </w:r>
    </w:p>
    <w:p w14:paraId="4FBC1AEF">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由于医院不同于其他建筑，首先要满足人民群众日益增长的医疗卫生服务需求，能源站外的用电，主要与医疗生产、管理活动和内部结算有关，每年的用电量是变化的，且无法预测。这部分用电，和政府医改宏观政策、流行病传播等均有较大关系，属于双方都不可控制的因素。为了保障双方的合法权益，降低风险，双方同意，能源站外用电按实托管，多退少补。</w:t>
      </w:r>
    </w:p>
    <w:p w14:paraId="611171E2">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因此，根据进入托管期后的第一年数据，确定能源站外按实托管基准G1=第1年医院实际用电量-能源站实际用电量。</w:t>
      </w:r>
    </w:p>
    <w:p w14:paraId="2EDEBC5E">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当能源站外用电量发生显著变化时，对能源托管费用进行调整，具体如下：</w:t>
      </w:r>
    </w:p>
    <w:p w14:paraId="6C3B454A">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能源站外费用调整：改造后年实际能源站外用电量若为G2=当年医院实际用电量-当年能源站实际用电量。则能源调整费用计算公式如下：</w:t>
      </w:r>
    </w:p>
    <w:p w14:paraId="71D53871">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能源站调整费=（G2-G1）×当年平均电价。</w:t>
      </w:r>
    </w:p>
    <w:p w14:paraId="00410A5D">
      <w:pPr>
        <w:spacing w:line="360" w:lineRule="auto"/>
        <w:ind w:firstLine="480" w:firstLineChars="200"/>
        <w:rPr>
          <w:rFonts w:hint="eastAsia" w:ascii="仿宋" w:hAnsi="仿宋" w:eastAsia="仿宋" w:cs="仿宋"/>
          <w:bCs/>
          <w:color w:val="auto"/>
          <w:sz w:val="24"/>
          <w:szCs w:val="24"/>
          <w:lang w:val="en-US" w:eastAsia="zh-CN"/>
        </w:rPr>
      </w:pPr>
      <w:bookmarkStart w:id="13" w:name="_Toc12767"/>
      <w:r>
        <w:rPr>
          <w:rFonts w:hint="eastAsia" w:ascii="仿宋" w:hAnsi="仿宋" w:eastAsia="仿宋" w:cs="仿宋"/>
          <w:bCs/>
          <w:color w:val="auto"/>
          <w:sz w:val="24"/>
          <w:szCs w:val="24"/>
          <w:lang w:val="en-US" w:eastAsia="zh-CN"/>
        </w:rPr>
        <w:t>c.其它情况下的调整规则</w:t>
      </w:r>
      <w:bookmarkEnd w:id="13"/>
    </w:p>
    <w:p w14:paraId="2A549DA5">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在托管期内，如有发生以下情况的，双方须根据具体情况对项目托管基准进行调整：</w:t>
      </w:r>
    </w:p>
    <w:p w14:paraId="6A979F6A">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1）增加服务内容、提升服务品质引起的服务费用调整。甲方可以根据实际需求，要求乙方增加如运营值守人员和值守范围、机电设备维修维保、智慧后勤平台功能扩展等其它综合服务的内容，乙方按服务内容增加收取相应的服务费用。</w:t>
      </w:r>
    </w:p>
    <w:p w14:paraId="57C1600F">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rPr>
      </w:pPr>
      <w:r>
        <w:rPr>
          <w:rFonts w:hint="eastAsia" w:ascii="仿宋" w:hAnsi="仿宋" w:eastAsia="仿宋" w:cs="仿宋"/>
          <w:snapToGrid w:val="0"/>
          <w:color w:val="auto"/>
          <w:spacing w:val="-3"/>
          <w:sz w:val="24"/>
          <w:szCs w:val="24"/>
        </w:rPr>
        <w:t>（2）增加投资引起的服务费用调整。甲方可以根据实际需求，要求乙方增加投资改造内容，乙方按投资内容收取相应的服务费用。</w:t>
      </w:r>
    </w:p>
    <w:p w14:paraId="1FEFCE1D">
      <w:pPr>
        <w:kinsoku w:val="0"/>
        <w:autoSpaceDE w:val="0"/>
        <w:autoSpaceDN w:val="0"/>
        <w:adjustRightInd w:val="0"/>
        <w:snapToGrid w:val="0"/>
        <w:spacing w:line="360" w:lineRule="auto"/>
        <w:ind w:right="51" w:firstLine="468" w:firstLineChars="200"/>
        <w:textAlignment w:val="baseline"/>
        <w:rPr>
          <w:rFonts w:hint="eastAsia" w:ascii="仿宋" w:hAnsi="仿宋" w:eastAsia="仿宋" w:cs="仿宋"/>
          <w:snapToGrid w:val="0"/>
          <w:color w:val="auto"/>
          <w:spacing w:val="-3"/>
          <w:sz w:val="24"/>
          <w:szCs w:val="24"/>
          <w:lang w:val="en-US" w:eastAsia="zh-CN"/>
        </w:rPr>
      </w:pPr>
      <w:r>
        <w:rPr>
          <w:rFonts w:hint="eastAsia" w:ascii="仿宋" w:hAnsi="仿宋" w:eastAsia="仿宋" w:cs="仿宋"/>
          <w:snapToGrid w:val="0"/>
          <w:color w:val="auto"/>
          <w:spacing w:val="-3"/>
          <w:sz w:val="24"/>
          <w:szCs w:val="24"/>
        </w:rPr>
        <w:t>（3）能源费用单价调整规则：合同期内每年按供电部门结算能源费用单价进行调整。</w:t>
      </w:r>
    </w:p>
    <w:p w14:paraId="79E16BDF">
      <w:pPr>
        <w:spacing w:line="360" w:lineRule="auto"/>
        <w:ind w:firstLine="480" w:firstLineChars="200"/>
        <w:rPr>
          <w:rFonts w:hint="eastAsia" w:ascii="仿宋" w:hAnsi="仿宋" w:eastAsia="仿宋" w:cs="仿宋"/>
          <w:bCs/>
          <w:color w:val="auto"/>
          <w:sz w:val="24"/>
          <w:szCs w:val="24"/>
          <w:lang w:val="en-US" w:eastAsia="zh-CN"/>
        </w:rPr>
      </w:pPr>
      <w:bookmarkStart w:id="14" w:name="_Toc21323"/>
      <w:r>
        <w:rPr>
          <w:rFonts w:hint="eastAsia" w:ascii="仿宋" w:hAnsi="仿宋" w:eastAsia="仿宋" w:cs="仿宋"/>
          <w:bCs/>
          <w:color w:val="auto"/>
          <w:sz w:val="24"/>
          <w:szCs w:val="24"/>
          <w:lang w:val="en-US" w:eastAsia="zh-CN"/>
        </w:rPr>
        <w:t>d.托管费用调整的确认办法</w:t>
      </w:r>
      <w:bookmarkEnd w:id="14"/>
    </w:p>
    <w:p w14:paraId="79F89517">
      <w:pPr>
        <w:kinsoku w:val="0"/>
        <w:autoSpaceDE w:val="0"/>
        <w:autoSpaceDN w:val="0"/>
        <w:adjustRightInd w:val="0"/>
        <w:snapToGrid w:val="0"/>
        <w:spacing w:line="360" w:lineRule="auto"/>
        <w:ind w:left="1" w:right="16" w:firstLine="528"/>
        <w:textAlignment w:val="baseline"/>
        <w:rPr>
          <w:rFonts w:hint="eastAsia" w:ascii="仿宋" w:hAnsi="仿宋" w:eastAsia="仿宋" w:cs="仿宋"/>
          <w:snapToGrid w:val="0"/>
          <w:color w:val="auto"/>
          <w:spacing w:val="14"/>
          <w:sz w:val="24"/>
          <w:szCs w:val="24"/>
        </w:rPr>
      </w:pPr>
      <w:r>
        <w:rPr>
          <w:rFonts w:hint="eastAsia" w:ascii="仿宋" w:hAnsi="仿宋" w:eastAsia="仿宋" w:cs="仿宋"/>
          <w:snapToGrid w:val="0"/>
          <w:color w:val="auto"/>
          <w:spacing w:val="14"/>
          <w:sz w:val="24"/>
          <w:szCs w:val="24"/>
        </w:rPr>
        <w:t>（1）乙方应按上述要求及时整理数据，编写托管费用调整报告，并报医院主管部门审核；</w:t>
      </w:r>
    </w:p>
    <w:p w14:paraId="0A3CB074">
      <w:pPr>
        <w:kinsoku w:val="0"/>
        <w:autoSpaceDE w:val="0"/>
        <w:autoSpaceDN w:val="0"/>
        <w:adjustRightInd w:val="0"/>
        <w:snapToGrid w:val="0"/>
        <w:spacing w:line="360" w:lineRule="auto"/>
        <w:ind w:left="1" w:right="16" w:firstLine="528"/>
        <w:textAlignment w:val="baseline"/>
        <w:rPr>
          <w:rFonts w:hint="eastAsia" w:ascii="仿宋" w:hAnsi="仿宋" w:eastAsia="仿宋" w:cs="仿宋"/>
          <w:snapToGrid w:val="0"/>
          <w:color w:val="auto"/>
          <w:spacing w:val="14"/>
          <w:sz w:val="24"/>
          <w:szCs w:val="24"/>
        </w:rPr>
      </w:pPr>
      <w:r>
        <w:rPr>
          <w:rFonts w:hint="eastAsia" w:ascii="仿宋" w:hAnsi="仿宋" w:eastAsia="仿宋" w:cs="仿宋"/>
          <w:snapToGrid w:val="0"/>
          <w:color w:val="auto"/>
          <w:spacing w:val="14"/>
          <w:sz w:val="24"/>
          <w:szCs w:val="24"/>
        </w:rPr>
        <w:t>（2）医院主管部门完成审核、确认托管费用调整报告；</w:t>
      </w:r>
    </w:p>
    <w:p w14:paraId="0C659E69">
      <w:pPr>
        <w:kinsoku w:val="0"/>
        <w:autoSpaceDE w:val="0"/>
        <w:autoSpaceDN w:val="0"/>
        <w:adjustRightInd w:val="0"/>
        <w:snapToGrid w:val="0"/>
        <w:spacing w:line="360" w:lineRule="auto"/>
        <w:ind w:left="1" w:right="16" w:firstLine="528"/>
        <w:textAlignment w:val="baseline"/>
        <w:rPr>
          <w:rFonts w:hint="eastAsia" w:ascii="仿宋" w:hAnsi="仿宋" w:eastAsia="仿宋" w:cs="仿宋"/>
          <w:snapToGrid w:val="0"/>
          <w:color w:val="auto"/>
          <w:spacing w:val="14"/>
          <w:sz w:val="24"/>
          <w:szCs w:val="24"/>
        </w:rPr>
      </w:pPr>
      <w:r>
        <w:rPr>
          <w:rFonts w:hint="eastAsia" w:ascii="仿宋" w:hAnsi="仿宋" w:eastAsia="仿宋" w:cs="仿宋"/>
          <w:snapToGrid w:val="0"/>
          <w:color w:val="auto"/>
          <w:spacing w:val="14"/>
          <w:sz w:val="24"/>
          <w:szCs w:val="24"/>
        </w:rPr>
        <w:t>（3）双方不再另行签订托管费用调整的补充协议；</w:t>
      </w:r>
    </w:p>
    <w:p w14:paraId="2ADF6048">
      <w:pPr>
        <w:kinsoku w:val="0"/>
        <w:autoSpaceDE w:val="0"/>
        <w:autoSpaceDN w:val="0"/>
        <w:adjustRightInd w:val="0"/>
        <w:snapToGrid w:val="0"/>
        <w:spacing w:line="360" w:lineRule="auto"/>
        <w:ind w:left="1" w:right="16" w:firstLine="528"/>
        <w:textAlignment w:val="baseline"/>
        <w:rPr>
          <w:rFonts w:hint="eastAsia" w:ascii="仿宋" w:hAnsi="仿宋" w:eastAsia="仿宋" w:cs="仿宋"/>
          <w:snapToGrid w:val="0"/>
          <w:color w:val="auto"/>
          <w:spacing w:val="14"/>
          <w:sz w:val="24"/>
          <w:szCs w:val="24"/>
        </w:rPr>
      </w:pPr>
      <w:r>
        <w:rPr>
          <w:rFonts w:hint="eastAsia" w:ascii="仿宋" w:hAnsi="仿宋" w:eastAsia="仿宋" w:cs="仿宋"/>
          <w:snapToGrid w:val="0"/>
          <w:color w:val="auto"/>
          <w:spacing w:val="14"/>
          <w:sz w:val="24"/>
          <w:szCs w:val="24"/>
        </w:rPr>
        <w:t>（4）托管电量调整时间：托管电量每年调整一次（或双方协商的时间、周期），对发生在调整日之前的调整电费按照上述调整办法采取多退少补一次性调整，发生在调整日之后的电量按照调整后的基准电费进行结算。</w:t>
      </w:r>
    </w:p>
    <w:bookmarkEnd w:id="10"/>
    <w:bookmarkEnd w:id="11"/>
    <w:bookmarkEnd w:id="12"/>
    <w:p w14:paraId="104B375A">
      <w:pPr>
        <w:spacing w:line="560" w:lineRule="exact"/>
        <w:jc w:val="left"/>
        <w:rPr>
          <w:rFonts w:hint="eastAsia" w:ascii="仿宋" w:hAnsi="仿宋" w:eastAsia="仿宋" w:cs="仿宋"/>
          <w:color w:val="auto"/>
          <w:sz w:val="32"/>
          <w:szCs w:val="32"/>
          <w:lang w:val="en-US" w:eastAsia="zh-CN"/>
        </w:rPr>
      </w:pPr>
    </w:p>
    <w:p w14:paraId="63D12202">
      <w:pPr>
        <w:spacing w:line="560" w:lineRule="exact"/>
        <w:jc w:val="left"/>
        <w:rPr>
          <w:rFonts w:hint="eastAsia" w:ascii="仿宋" w:hAnsi="仿宋" w:eastAsia="仿宋" w:cs="仿宋"/>
          <w:color w:val="auto"/>
          <w:sz w:val="32"/>
          <w:szCs w:val="32"/>
          <w:lang w:val="en-US" w:eastAsia="zh-CN"/>
        </w:rPr>
      </w:pPr>
    </w:p>
    <w:p w14:paraId="359472B2">
      <w:pPr>
        <w:spacing w:line="560" w:lineRule="exact"/>
        <w:jc w:val="left"/>
        <w:rPr>
          <w:rFonts w:hint="eastAsia" w:ascii="仿宋" w:hAnsi="仿宋" w:eastAsia="仿宋" w:cs="仿宋"/>
          <w:color w:val="auto"/>
          <w:sz w:val="32"/>
          <w:szCs w:val="32"/>
          <w:lang w:val="en-US" w:eastAsia="zh-CN"/>
        </w:rPr>
      </w:pPr>
    </w:p>
    <w:p w14:paraId="52F35394">
      <w:pPr>
        <w:spacing w:line="560" w:lineRule="exact"/>
        <w:jc w:val="left"/>
        <w:rPr>
          <w:rFonts w:hint="eastAsia" w:ascii="仿宋" w:hAnsi="仿宋" w:eastAsia="仿宋" w:cs="仿宋"/>
          <w:color w:val="auto"/>
          <w:sz w:val="32"/>
          <w:szCs w:val="32"/>
          <w:lang w:val="en-US" w:eastAsia="zh-CN"/>
        </w:rPr>
      </w:pPr>
    </w:p>
    <w:p w14:paraId="3786D11C">
      <w:pPr>
        <w:spacing w:line="560" w:lineRule="exact"/>
        <w:jc w:val="left"/>
        <w:rPr>
          <w:rFonts w:hint="eastAsia" w:ascii="仿宋" w:hAnsi="仿宋" w:eastAsia="仿宋" w:cs="仿宋"/>
          <w:color w:val="auto"/>
          <w:sz w:val="32"/>
          <w:szCs w:val="32"/>
          <w:lang w:val="en-US" w:eastAsia="zh-CN"/>
        </w:rPr>
      </w:pPr>
    </w:p>
    <w:p w14:paraId="6C48CF14">
      <w:pPr>
        <w:spacing w:line="560" w:lineRule="exact"/>
        <w:jc w:val="left"/>
        <w:rPr>
          <w:rFonts w:hint="eastAsia" w:ascii="仿宋" w:hAnsi="仿宋" w:eastAsia="仿宋" w:cs="仿宋"/>
          <w:color w:val="auto"/>
          <w:sz w:val="32"/>
          <w:szCs w:val="32"/>
          <w:lang w:val="en-US" w:eastAsia="zh-CN"/>
        </w:rPr>
      </w:pPr>
    </w:p>
    <w:p w14:paraId="5B0E7798">
      <w:pPr>
        <w:spacing w:line="560" w:lineRule="exact"/>
        <w:jc w:val="left"/>
        <w:rPr>
          <w:rFonts w:hint="eastAsia" w:ascii="仿宋" w:hAnsi="仿宋" w:eastAsia="仿宋" w:cs="仿宋"/>
          <w:color w:val="auto"/>
          <w:sz w:val="32"/>
          <w:szCs w:val="32"/>
          <w:lang w:val="en-US" w:eastAsia="zh-CN"/>
        </w:rPr>
      </w:pPr>
    </w:p>
    <w:p w14:paraId="6377708E">
      <w:pPr>
        <w:pStyle w:val="3"/>
        <w:bidi w:val="0"/>
        <w:rPr>
          <w:rFonts w:hint="eastAsia"/>
          <w:b/>
          <w:lang w:val="en-US" w:eastAsia="zh-CN"/>
        </w:rPr>
      </w:pPr>
      <w:r>
        <w:rPr>
          <w:rFonts w:hint="eastAsia"/>
          <w:b/>
          <w:lang w:val="en-US" w:eastAsia="zh-CN"/>
        </w:rPr>
        <w:t>附件三：运维考核机制</w:t>
      </w:r>
    </w:p>
    <w:p w14:paraId="496B25A8">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为规范医院空调系统、给排水系统、强弱电系统运维管理，保障全院医疗科室、病房、手术室、ICU、检验中心等重点区域设备设施安全、稳定、连续运行，杜绝停水、停电、空调停机故障引发医疗安全事件，明确运维人员岗位职责与工作标准，制定本考核要求（最终考核标准，以双方协商确定的运维合同为准）。</w:t>
      </w:r>
    </w:p>
    <w:p w14:paraId="5ED91C69">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一、总体工作总则</w:t>
      </w:r>
    </w:p>
    <w:p w14:paraId="2AC1EE8C">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1.坚持医疗保障优先、安全第一、预防为主、快速处置原则，全天候保障医院水电、空调系统正常运行。</w:t>
      </w:r>
    </w:p>
    <w:p w14:paraId="0CCB4A86">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2.严格遵守医院规章制度、设备操作规程、消防安全规范，杜绝违章操作、违规值守。</w:t>
      </w:r>
    </w:p>
    <w:p w14:paraId="6849BF39">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3.所有运维工作做到有记录、有台账、有闭环，故障处置及时、整改彻底、回访到位。</w:t>
      </w:r>
    </w:p>
    <w:p w14:paraId="6ED63022">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二、日常值守与巡检考核要求（30分）</w:t>
      </w:r>
    </w:p>
    <w:p w14:paraId="6C1E3F9B">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（一）值守纪律</w:t>
      </w:r>
    </w:p>
    <w:p w14:paraId="28235628">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1.严格执行24小时值班制度，值班期间不得脱岗、睡岗、串岗、私自离岗，手机24小时畅通，随时响应科室报修。</w:t>
      </w:r>
    </w:p>
    <w:p w14:paraId="462380A4">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2.值班期间严禁饮酒、玩手机娱乐、聚众闲聊、擅自处理私务，保持在岗专注状态。</w:t>
      </w:r>
    </w:p>
    <w:p w14:paraId="10B01F77">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3.交接班做到口头+书面双交接，清晰交接设备运行状态、现存隐患、待处理故障、重点注意事项，交接记录完整无遗漏。</w:t>
      </w:r>
    </w:p>
    <w:p w14:paraId="0FC6F1A4">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（二）巡检工作标准</w:t>
      </w:r>
    </w:p>
    <w:p w14:paraId="5B73E741">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1.严格按照既定巡检路线、频次开展工作，高低压配电室、发电机房、水泵房、空调机房、冷却塔、新风机房、管道井等重点区域每日定时巡检。</w:t>
      </w:r>
    </w:p>
    <w:p w14:paraId="25367FB5">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2.巡检内容全覆盖：供电电压、电流、配电柜温度、开关状态、蓄电池工况；水压、水位、水泵运行、管道有无渗漏；空调主机、风机、盘管、温湿度、机组压力、过滤设备运行状态。</w:t>
      </w:r>
    </w:p>
    <w:p w14:paraId="42D28028">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3.巡检记录真实、规范、完整，严禁补填、漏填、虚假填写记录，发现异常第一时间记录、上报、处置。</w:t>
      </w:r>
    </w:p>
    <w:p w14:paraId="300DD30B">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4.重点区域（手术室、ICU）增加巡检频次，每日核查空调恒温恒湿状态、备用电源、应急供水供电保障情况。</w:t>
      </w:r>
    </w:p>
    <w:p w14:paraId="4B82E8E0">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三、设备运维保养考核要求（30分）</w:t>
      </w:r>
    </w:p>
    <w:p w14:paraId="7BD1CFB7">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（一）电力系统运维</w:t>
      </w:r>
    </w:p>
    <w:p w14:paraId="0757EA96">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1.定期对高低压配电柜、变压器、电缆线路、开关、应急发电机、UPS备用电源进行巡检和保养，每月完成紧固、除尘、测温、绝缘检测工作。</w:t>
      </w:r>
    </w:p>
    <w:p w14:paraId="0C7328D4">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2.定期测试双电源切换、发电机自动启动功能，保障突发停电时可无缝切换，满足医疗应急供电需求。</w:t>
      </w:r>
    </w:p>
    <w:p w14:paraId="7A265200">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3.及时排查线路老化、虚接、发热、漏电等隐患，杜绝私拉乱接电线、违规用电现象，配合科室完成用电安全检查。</w:t>
      </w:r>
    </w:p>
    <w:p w14:paraId="79C1DE1B">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（二）给排水系统运维</w:t>
      </w:r>
    </w:p>
    <w:p w14:paraId="46608824">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1.每日检查生活水泵、消防水泵、稳压泵、水箱、管道、阀门运行状态，保证全院供水压力稳定、无停水、无跑冒滴漏。</w:t>
      </w:r>
    </w:p>
    <w:p w14:paraId="4DBB5006">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2.定期清理管道滤网，按规范完成水质保障配套运维工作，杜绝积水、漏水、管道堵塞问题。</w:t>
      </w:r>
    </w:p>
    <w:p w14:paraId="1F2341D1">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3.雨季、低温天气提前做好管道防冻、排水疏通工作，杜绝积水倒灌、管道冻裂故障。</w:t>
      </w:r>
    </w:p>
    <w:p w14:paraId="354FA175">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（三）空调新风系统运维</w:t>
      </w:r>
    </w:p>
    <w:p w14:paraId="7FFFEB49">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1.按周期完成中央空调主机、冷却塔、风机盘管、新风机、风管、过滤网、冷凝水系统的清洁、除尘、检修、保养工作，留存保养台账及照片记录。</w:t>
      </w:r>
    </w:p>
    <w:p w14:paraId="03E457BF">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2.严格保障空调温度，及时调节机组参数，杜绝温湿度超标、新风不足、异味、霉菌滋生问题。</w:t>
      </w:r>
    </w:p>
    <w:p w14:paraId="29B11446">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3.夏季提前完成制冷系统调试、冬季提前完成制热系统调试，换季前完成全面设备检修，保障季节切换平稳运行。</w:t>
      </w:r>
    </w:p>
    <w:p w14:paraId="240F2E91">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4.及时处理空调滴水、噪音大、不制冷、不制热、出风口故障等常见问题，保障诊疗、住院环境舒适合规。</w:t>
      </w:r>
    </w:p>
    <w:p w14:paraId="211DB59A">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四、故障报修与应急处置考核要求（20分）</w:t>
      </w:r>
    </w:p>
    <w:p w14:paraId="049DE6F5">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1.接到科室报修、系统报警后，普通故障10分钟内到场处置，危重科室（手术室、ICU）5分钟内到场。</w:t>
      </w:r>
    </w:p>
    <w:p w14:paraId="28AF4F6A">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2.一般水电、空调故障当场快速修复，无法当场解决的，需第一时间向科室及上级主管报备，说明原因、整改时限，并采取临时应急保障措施，最大限度降低对医疗工作的影响。</w:t>
      </w:r>
    </w:p>
    <w:p w14:paraId="5B40B938">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3.突发停电、停水、空调系统瘫痪、设备冒烟漏水等紧急险情，必须第一时间启动应急流程，优先保障重点医疗区域运行，杜绝次生事故。</w:t>
      </w:r>
    </w:p>
    <w:p w14:paraId="06615D59">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4.所有故障做到“接报—处置—修复—复查—记录”闭环管理，故障台账清晰，原因分析、整改措施、完成情况记录完整。</w:t>
      </w:r>
    </w:p>
    <w:p w14:paraId="50E83345">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5.每月对故障数据进行汇总分析，对高频故障点位提前预判、提前整改，降低故障复发率。</w:t>
      </w:r>
    </w:p>
    <w:p w14:paraId="51BE0B5C">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五、安全管理与规范操作考核要求（15分）</w:t>
      </w:r>
    </w:p>
    <w:p w14:paraId="3875612E">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1.严格执行电工、高空作业、设备检修安全操作规程，作业前报备、断电挂牌、做好防护，杜绝违章作业、冒险作业。</w:t>
      </w:r>
    </w:p>
    <w:p w14:paraId="69959923">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2.熟练掌握消防知识、设备安全操作规范、应急救援流程，定期参与医院安全培训和应急演练。</w:t>
      </w:r>
    </w:p>
    <w:p w14:paraId="1F8B4E8D">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3.机房、配电房、水泵房等重点场所物品摆放整齐、干净整洁，无杂物、无易燃易爆物品，门窗、锁具完好，落实防火、防水、防盗措施。</w:t>
      </w:r>
    </w:p>
    <w:p w14:paraId="47BE899F">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4.工具、备件、耗材分类存放、台账清晰，杜绝丢失、随意挪用，设备检修完毕及时清理现场。</w:t>
      </w:r>
    </w:p>
    <w:p w14:paraId="119A06CB">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5.严守医院保密及规章制度，不随意进入诊疗区域、不触碰医疗设备、不泄露院内相关信息。</w:t>
      </w:r>
    </w:p>
    <w:p w14:paraId="57071C48">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六、服务纪律与科室满意度考核（5分）</w:t>
      </w:r>
    </w:p>
    <w:p w14:paraId="4868B624">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1.对接临床科室态度端正、耐心沟通，不推诿、不扯皮、不与科室人员争执。</w:t>
      </w:r>
    </w:p>
    <w:p w14:paraId="6BF3BCC9">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2.维修作业规范文明，完工后清理现场、恢复环境，不遗留垃圾、杂物。</w:t>
      </w:r>
    </w:p>
    <w:p w14:paraId="1EA163D7">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3.月度接受科室满意度评价，无有效投诉、无服务态度问题反馈。</w:t>
      </w:r>
    </w:p>
    <w:p w14:paraId="20C9A73B">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七、扣分标准（月度考核满分100分）</w:t>
      </w:r>
    </w:p>
    <w:p w14:paraId="1AFC330A">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1.脱岗、睡岗、值班饮酒、手机娱乐：每次扣10–20分，情节严重直接考核不合格。</w:t>
      </w:r>
    </w:p>
    <w:p w14:paraId="55AC1CF4">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2.巡检漏检、记录造假、漏填台账：每次扣5–10分。</w:t>
      </w:r>
    </w:p>
    <w:p w14:paraId="6E25E88D">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3.未按周期开展设备保养、保养不到位：每次扣10分。</w:t>
      </w:r>
    </w:p>
    <w:p w14:paraId="4BDC93D2">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4.接到报修超时未到场、推诿处置：每次扣10–15分，引发科室投诉加倍扣分。</w:t>
      </w:r>
    </w:p>
    <w:p w14:paraId="235D128B">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5.违规操作、存在安全隐患未整改：每次扣15分，险些造成事故的当月考核不合格。</w:t>
      </w:r>
    </w:p>
    <w:p w14:paraId="5E4D11E3">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6.因运维不到位造成科室停水、停电、空调大面积故障：当月考核不合格，另行追责。</w:t>
      </w:r>
    </w:p>
    <w:p w14:paraId="5C1789AE">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7.服务态度恶劣、引发有效投诉：每次扣5–10分。</w:t>
      </w:r>
    </w:p>
    <w:p w14:paraId="42BA04DD">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八、加分项</w:t>
      </w:r>
    </w:p>
    <w:p w14:paraId="425268EA">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1.主动排查重大设备隐患、避免安全事故：每次加10–20分。</w:t>
      </w:r>
    </w:p>
    <w:p w14:paraId="2B789708">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2.优化运维方案、节能降耗、提升设备运行效率：每次加5–10分。</w:t>
      </w:r>
    </w:p>
    <w:p w14:paraId="46D0A8E6">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3.月度零故障、零投诉、台账完整规范：月度加5分。</w:t>
      </w:r>
    </w:p>
    <w:p w14:paraId="307E9870">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4.应急处置高效、获得科室书面表扬：每次加5分。</w:t>
      </w:r>
    </w:p>
    <w:p w14:paraId="792CCB41">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九、考核结果应用</w:t>
      </w:r>
    </w:p>
    <w:p w14:paraId="3228D2DE">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1.90分及以上：优秀，全额发放绩效，优先评优。</w:t>
      </w:r>
    </w:p>
    <w:p w14:paraId="7EE0BAF7">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2.80–89分：合格，正常发放绩效。</w:t>
      </w:r>
    </w:p>
    <w:p w14:paraId="1B55BD9F">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3.70–79分：基本合格，扣除部分绩效，限期整改。</w:t>
      </w:r>
    </w:p>
    <w:p w14:paraId="0F7F3689">
      <w:pPr>
        <w:numPr>
          <w:ilvl w:val="0"/>
          <w:numId w:val="0"/>
        </w:numPr>
        <w:bidi w:val="0"/>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4.70分以下：不合格，扣除当月绩效，约谈整改，连续两月不合格予以调岗或辞退。</w:t>
      </w:r>
    </w:p>
    <w:p w14:paraId="2FA5D85F">
      <w:pPr>
        <w:pStyle w:val="3"/>
        <w:bidi w:val="0"/>
        <w:rPr>
          <w:rFonts w:hint="eastAsia"/>
          <w:lang w:val="en-US" w:eastAsia="zh-CN"/>
        </w:rPr>
      </w:pPr>
      <w:r>
        <w:rPr>
          <w:rFonts w:hint="eastAsia"/>
          <w:lang w:val="en-US" w:eastAsia="zh-CN"/>
        </w:rPr>
        <w:t>附件四：合同模版</w:t>
      </w:r>
    </w:p>
    <w:p w14:paraId="68947BD5">
      <w:pPr>
        <w:spacing w:line="560" w:lineRule="exact"/>
        <w:ind w:left="0" w:leftChars="0" w:firstLine="419" w:firstLineChars="131"/>
        <w:jc w:val="left"/>
        <w:rPr>
          <w:rFonts w:hint="eastAsia" w:ascii="仿宋" w:hAnsi="仿宋" w:eastAsia="仿宋" w:cs="仿宋"/>
          <w:i w:val="0"/>
          <w:iCs/>
          <w:color w:val="auto"/>
          <w:sz w:val="32"/>
          <w:szCs w:val="32"/>
          <w:u w:val="none"/>
          <w:lang w:val="en-US" w:eastAsia="zh-CN"/>
        </w:rPr>
      </w:pPr>
      <w:r>
        <w:rPr>
          <w:rFonts w:hint="eastAsia" w:ascii="仿宋" w:hAnsi="仿宋" w:eastAsia="仿宋" w:cs="仿宋"/>
          <w:i w:val="0"/>
          <w:iCs/>
          <w:color w:val="auto"/>
          <w:sz w:val="32"/>
          <w:szCs w:val="32"/>
          <w:u w:val="none"/>
          <w:lang w:val="en-US" w:eastAsia="zh-CN"/>
        </w:rPr>
        <w:t>参照国家机关事务管理局2026年6月制定的公共机构能源费用托管项目服务合同（示范文本）GF-2026-2621。</w:t>
      </w:r>
    </w:p>
    <w:p w14:paraId="39F66EA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44"/>
          <w:szCs w:val="44"/>
        </w:rPr>
      </w:pPr>
    </w:p>
    <w:sectPr>
      <w:footerReference r:id="rId3" w:type="default"/>
      <w:footerReference r:id="rId4" w:type="even"/>
      <w:pgSz w:w="11906" w:h="16838"/>
      <w:pgMar w:top="2098" w:right="1474" w:bottom="1985" w:left="1588" w:header="851" w:footer="1588"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356DC">
    <w:pPr>
      <w:pStyle w:val="11"/>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112A1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73112A1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5EAAD">
    <w:pPr>
      <w:pStyle w:val="11"/>
      <w:framePr w:wrap="around" w:vAnchor="text" w:hAnchor="margin" w:xAlign="outside" w:y="1"/>
      <w:rPr>
        <w:rStyle w:val="21"/>
        <w:rFonts w:ascii="宋体" w:hAnsi="宋体"/>
        <w:sz w:val="28"/>
        <w:szCs w:val="28"/>
      </w:rPr>
    </w:pPr>
    <w:r>
      <w:rPr>
        <w:rStyle w:val="21"/>
        <w:rFonts w:hint="eastAsia" w:ascii="宋体" w:hAnsi="宋体"/>
        <w:sz w:val="28"/>
        <w:szCs w:val="28"/>
      </w:rPr>
      <w:t xml:space="preserve">— </w:t>
    </w:r>
    <w:r>
      <w:rPr>
        <w:rFonts w:ascii="宋体" w:hAnsi="宋体"/>
        <w:sz w:val="28"/>
        <w:szCs w:val="28"/>
      </w:rPr>
      <w:fldChar w:fldCharType="begin"/>
    </w:r>
    <w:r>
      <w:rPr>
        <w:rStyle w:val="21"/>
        <w:rFonts w:ascii="宋体" w:hAnsi="宋体"/>
        <w:sz w:val="28"/>
        <w:szCs w:val="28"/>
      </w:rPr>
      <w:instrText xml:space="preserve">PAGE  </w:instrText>
    </w:r>
    <w:r>
      <w:rPr>
        <w:rFonts w:ascii="宋体" w:hAnsi="宋体"/>
        <w:sz w:val="28"/>
        <w:szCs w:val="28"/>
      </w:rPr>
      <w:fldChar w:fldCharType="separate"/>
    </w:r>
    <w:r>
      <w:rPr>
        <w:rStyle w:val="21"/>
        <w:rFonts w:ascii="宋体" w:hAnsi="宋体"/>
        <w:sz w:val="28"/>
        <w:szCs w:val="28"/>
      </w:rPr>
      <w:t>26</w:t>
    </w:r>
    <w:r>
      <w:rPr>
        <w:rFonts w:ascii="宋体" w:hAnsi="宋体"/>
        <w:sz w:val="28"/>
        <w:szCs w:val="28"/>
      </w:rPr>
      <w:fldChar w:fldCharType="end"/>
    </w:r>
    <w:r>
      <w:rPr>
        <w:rStyle w:val="21"/>
        <w:rFonts w:hint="eastAsia" w:ascii="宋体" w:hAnsi="宋体"/>
        <w:sz w:val="28"/>
        <w:szCs w:val="28"/>
      </w:rPr>
      <w:t xml:space="preserve"> —</w:t>
    </w:r>
  </w:p>
  <w:p w14:paraId="292DD903">
    <w:pPr>
      <w:pStyle w:val="1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3AD66"/>
    <w:multiLevelType w:val="singleLevel"/>
    <w:tmpl w:val="93F3AD66"/>
    <w:lvl w:ilvl="0" w:tentative="0">
      <w:start w:val="3"/>
      <w:numFmt w:val="decimal"/>
      <w:suff w:val="nothing"/>
      <w:lvlText w:val="%1）"/>
      <w:lvlJc w:val="left"/>
    </w:lvl>
  </w:abstractNum>
  <w:abstractNum w:abstractNumId="1">
    <w:nsid w:val="945F9E7E"/>
    <w:multiLevelType w:val="singleLevel"/>
    <w:tmpl w:val="945F9E7E"/>
    <w:lvl w:ilvl="0" w:tentative="0">
      <w:start w:val="1"/>
      <w:numFmt w:val="chineseCounting"/>
      <w:suff w:val="nothing"/>
      <w:lvlText w:val="%1、"/>
      <w:lvlJc w:val="left"/>
      <w:rPr>
        <w:rFonts w:hint="eastAsia"/>
      </w:rPr>
    </w:lvl>
  </w:abstractNum>
  <w:abstractNum w:abstractNumId="2">
    <w:nsid w:val="BC2FF55F"/>
    <w:multiLevelType w:val="singleLevel"/>
    <w:tmpl w:val="BC2FF55F"/>
    <w:lvl w:ilvl="0" w:tentative="0">
      <w:start w:val="1"/>
      <w:numFmt w:val="decimal"/>
      <w:suff w:val="nothing"/>
      <w:lvlText w:val="（%1）"/>
      <w:lvlJc w:val="left"/>
    </w:lvl>
  </w:abstractNum>
  <w:abstractNum w:abstractNumId="3">
    <w:nsid w:val="F69A18FD"/>
    <w:multiLevelType w:val="singleLevel"/>
    <w:tmpl w:val="F69A18FD"/>
    <w:lvl w:ilvl="0" w:tentative="0">
      <w:start w:val="5"/>
      <w:numFmt w:val="decimal"/>
      <w:lvlText w:val="%1)"/>
      <w:lvlJc w:val="left"/>
      <w:pPr>
        <w:tabs>
          <w:tab w:val="left" w:pos="312"/>
        </w:tabs>
      </w:pPr>
    </w:lvl>
  </w:abstractNum>
  <w:abstractNum w:abstractNumId="4">
    <w:nsid w:val="48E816AA"/>
    <w:multiLevelType w:val="singleLevel"/>
    <w:tmpl w:val="48E816AA"/>
    <w:lvl w:ilvl="0" w:tentative="0">
      <w:start w:val="3"/>
      <w:numFmt w:val="decimal"/>
      <w:suff w:val="nothing"/>
      <w:lvlText w:val="%1）"/>
      <w:lvlJc w:val="left"/>
    </w:lvl>
  </w:abstractNum>
  <w:abstractNum w:abstractNumId="5">
    <w:nsid w:val="5E5B2567"/>
    <w:multiLevelType w:val="multilevel"/>
    <w:tmpl w:val="5E5B2567"/>
    <w:lvl w:ilvl="0" w:tentative="0">
      <w:start w:val="1"/>
      <w:numFmt w:val="decimal"/>
      <w:isLgl/>
      <w:suff w:val="space"/>
      <w:lvlText w:val="第%1章"/>
      <w:lvlJc w:val="left"/>
      <w:rPr>
        <w:rFonts w:hint="default" w:ascii="Verdana" w:hAnsi="Verdana" w:eastAsia="宋体" w:cs="Times New Roman"/>
        <w:b/>
        <w:bCs/>
        <w:i w:val="0"/>
        <w:iCs w:val="0"/>
        <w:spacing w:val="0"/>
        <w:w w:val="100"/>
        <w:kern w:val="36"/>
        <w:position w:val="0"/>
        <w:sz w:val="36"/>
        <w:szCs w:val="36"/>
      </w:rPr>
    </w:lvl>
    <w:lvl w:ilvl="1" w:tentative="0">
      <w:start w:val="1"/>
      <w:numFmt w:val="decimal"/>
      <w:pStyle w:val="25"/>
      <w:isLgl/>
      <w:suff w:val="space"/>
      <w:lvlText w:val="%1.%2"/>
      <w:lvlJc w:val="left"/>
      <w:pPr>
        <w:ind w:left="2552"/>
      </w:pPr>
      <w:rPr>
        <w:rFonts w:hint="default" w:ascii="Verdana" w:hAnsi="Verdana" w:eastAsia="宋体" w:cs="Times New Roman"/>
        <w:b/>
        <w:bCs/>
        <w:i w:val="0"/>
        <w:iCs w:val="0"/>
        <w:spacing w:val="0"/>
        <w:w w:val="100"/>
        <w:kern w:val="32"/>
        <w:position w:val="0"/>
        <w:sz w:val="32"/>
        <w:szCs w:val="32"/>
      </w:rPr>
    </w:lvl>
    <w:lvl w:ilvl="2" w:tentative="0">
      <w:start w:val="1"/>
      <w:numFmt w:val="decimal"/>
      <w:isLgl/>
      <w:suff w:val="space"/>
      <w:lvlText w:val="%1.%2.%3"/>
      <w:lvlJc w:val="left"/>
      <w:rPr>
        <w:rFonts w:hint="default" w:ascii="Verdana" w:hAnsi="Verdana" w:eastAsia="宋体" w:cs="Times New Roman"/>
        <w:b/>
        <w:bCs/>
        <w:i w:val="0"/>
        <w:iCs w:val="0"/>
        <w:spacing w:val="0"/>
        <w:w w:val="100"/>
        <w:kern w:val="30"/>
        <w:position w:val="0"/>
        <w:sz w:val="30"/>
        <w:szCs w:val="30"/>
      </w:rPr>
    </w:lvl>
    <w:lvl w:ilvl="3" w:tentative="0">
      <w:start w:val="1"/>
      <w:numFmt w:val="decimal"/>
      <w:pStyle w:val="5"/>
      <w:isLgl/>
      <w:suff w:val="space"/>
      <w:lvlText w:val="%1.%2.%3.%4"/>
      <w:lvlJc w:val="left"/>
      <w:rPr>
        <w:rFonts w:hint="default" w:ascii="Verdana" w:hAnsi="Verdana" w:eastAsia="宋体" w:cs="Times New Roman"/>
        <w:b/>
        <w:bCs/>
        <w:i w:val="0"/>
        <w:iCs w:val="0"/>
        <w:color w:val="auto"/>
        <w:spacing w:val="0"/>
        <w:w w:val="100"/>
        <w:kern w:val="28"/>
        <w:position w:val="0"/>
        <w:sz w:val="28"/>
        <w:szCs w:val="28"/>
        <w:u w:val="none"/>
      </w:rPr>
    </w:lvl>
    <w:lvl w:ilvl="4" w:tentative="0">
      <w:start w:val="1"/>
      <w:numFmt w:val="decimal"/>
      <w:lvlRestart w:val="0"/>
      <w:isLgl/>
      <w:suff w:val="space"/>
      <w:lvlText w:val="表%1.%5"/>
      <w:lvlJc w:val="left"/>
      <w:rPr>
        <w:rFonts w:hint="default" w:ascii="Verdana" w:hAnsi="Verdana" w:eastAsia="宋体" w:cs="Times New Roman"/>
        <w:b w:val="0"/>
        <w:bCs w:val="0"/>
        <w:i w:val="0"/>
        <w:iCs w:val="0"/>
        <w:sz w:val="21"/>
        <w:szCs w:val="21"/>
      </w:rPr>
    </w:lvl>
    <w:lvl w:ilvl="5" w:tentative="0">
      <w:start w:val="1"/>
      <w:numFmt w:val="decimal"/>
      <w:lvlRestart w:val="0"/>
      <w:isLgl/>
      <w:suff w:val="space"/>
      <w:lvlText w:val="图%1.%6"/>
      <w:lvlJc w:val="left"/>
      <w:rPr>
        <w:rFonts w:hint="default" w:ascii="Verdana" w:hAnsi="Verdana" w:eastAsia="宋体" w:cs="Times New Roman"/>
        <w:b w:val="0"/>
        <w:bCs w:val="0"/>
        <w:i w:val="0"/>
        <w:iCs w:val="0"/>
        <w:color w:val="auto"/>
        <w:sz w:val="21"/>
        <w:szCs w:val="21"/>
        <w:u w:val="none"/>
      </w:rPr>
    </w:lvl>
    <w:lvl w:ilvl="6" w:tentative="0">
      <w:start w:val="1"/>
      <w:numFmt w:val="none"/>
      <w:suff w:val="nothing"/>
      <w:lvlText w:val=""/>
      <w:lvlJc w:val="left"/>
      <w:rPr>
        <w:rFonts w:hint="eastAsia" w:cs="Times New Roman"/>
      </w:rPr>
    </w:lvl>
    <w:lvl w:ilvl="7" w:tentative="0">
      <w:start w:val="1"/>
      <w:numFmt w:val="none"/>
      <w:suff w:val="nothing"/>
      <w:lvlText w:val=""/>
      <w:lvlJc w:val="left"/>
      <w:rPr>
        <w:rFonts w:hint="eastAsia" w:cs="Times New Roman"/>
      </w:rPr>
    </w:lvl>
    <w:lvl w:ilvl="8" w:tentative="0">
      <w:start w:val="1"/>
      <w:numFmt w:val="none"/>
      <w:suff w:val="nothing"/>
      <w:lvlText w:val=""/>
      <w:lvlJc w:val="left"/>
      <w:rPr>
        <w:rFonts w:hint="eastAsia" w:cs="Times New Roman"/>
      </w:rPr>
    </w:lvl>
  </w:abstractNum>
  <w:abstractNum w:abstractNumId="6">
    <w:nsid w:val="63993973"/>
    <w:multiLevelType w:val="multilevel"/>
    <w:tmpl w:val="63993973"/>
    <w:lvl w:ilvl="0" w:tentative="0">
      <w:start w:val="1"/>
      <w:numFmt w:val="bullet"/>
      <w:lvlText w:val=""/>
      <w:lvlJc w:val="left"/>
      <w:pPr>
        <w:ind w:left="525" w:hanging="420"/>
      </w:pPr>
      <w:rPr>
        <w:rFonts w:hint="default" w:ascii="Wingdings" w:hAnsi="Wingdings"/>
        <w:lang w:val="en-US"/>
      </w:rPr>
    </w:lvl>
    <w:lvl w:ilvl="1" w:tentative="0">
      <w:start w:val="1"/>
      <w:numFmt w:val="bullet"/>
      <w:lvlText w:val=""/>
      <w:lvlJc w:val="left"/>
      <w:pPr>
        <w:ind w:left="945" w:hanging="420"/>
      </w:pPr>
      <w:rPr>
        <w:rFonts w:hint="default" w:ascii="Wingdings" w:hAnsi="Wingdings"/>
      </w:rPr>
    </w:lvl>
    <w:lvl w:ilvl="2" w:tentative="0">
      <w:start w:val="1"/>
      <w:numFmt w:val="bullet"/>
      <w:lvlText w:val=""/>
      <w:lvlJc w:val="left"/>
      <w:pPr>
        <w:ind w:left="1365" w:hanging="420"/>
      </w:pPr>
      <w:rPr>
        <w:rFonts w:hint="default" w:ascii="Wingdings" w:hAnsi="Wingdings"/>
      </w:rPr>
    </w:lvl>
    <w:lvl w:ilvl="3" w:tentative="0">
      <w:start w:val="1"/>
      <w:numFmt w:val="bullet"/>
      <w:lvlText w:val=""/>
      <w:lvlJc w:val="left"/>
      <w:pPr>
        <w:ind w:left="1785" w:hanging="420"/>
      </w:pPr>
      <w:rPr>
        <w:rFonts w:hint="default" w:ascii="Wingdings" w:hAnsi="Wingdings"/>
      </w:rPr>
    </w:lvl>
    <w:lvl w:ilvl="4" w:tentative="0">
      <w:start w:val="1"/>
      <w:numFmt w:val="bullet"/>
      <w:lvlText w:val=""/>
      <w:lvlJc w:val="left"/>
      <w:pPr>
        <w:ind w:left="2205" w:hanging="420"/>
      </w:pPr>
      <w:rPr>
        <w:rFonts w:hint="default" w:ascii="Wingdings" w:hAnsi="Wingdings"/>
      </w:rPr>
    </w:lvl>
    <w:lvl w:ilvl="5" w:tentative="0">
      <w:start w:val="1"/>
      <w:numFmt w:val="bullet"/>
      <w:lvlText w:val=""/>
      <w:lvlJc w:val="left"/>
      <w:pPr>
        <w:ind w:left="2625" w:hanging="420"/>
      </w:pPr>
      <w:rPr>
        <w:rFonts w:hint="default" w:ascii="Wingdings" w:hAnsi="Wingdings"/>
      </w:rPr>
    </w:lvl>
    <w:lvl w:ilvl="6" w:tentative="0">
      <w:start w:val="1"/>
      <w:numFmt w:val="bullet"/>
      <w:lvlText w:val=""/>
      <w:lvlJc w:val="left"/>
      <w:pPr>
        <w:ind w:left="3045" w:hanging="420"/>
      </w:pPr>
      <w:rPr>
        <w:rFonts w:hint="default" w:ascii="Wingdings" w:hAnsi="Wingdings"/>
      </w:rPr>
    </w:lvl>
    <w:lvl w:ilvl="7" w:tentative="0">
      <w:start w:val="1"/>
      <w:numFmt w:val="bullet"/>
      <w:lvlText w:val=""/>
      <w:lvlJc w:val="left"/>
      <w:pPr>
        <w:ind w:left="3465" w:hanging="420"/>
      </w:pPr>
      <w:rPr>
        <w:rFonts w:hint="default" w:ascii="Wingdings" w:hAnsi="Wingdings"/>
      </w:rPr>
    </w:lvl>
    <w:lvl w:ilvl="8" w:tentative="0">
      <w:start w:val="1"/>
      <w:numFmt w:val="bullet"/>
      <w:lvlText w:val=""/>
      <w:lvlJc w:val="left"/>
      <w:pPr>
        <w:ind w:left="3885" w:hanging="420"/>
      </w:pPr>
      <w:rPr>
        <w:rFonts w:hint="default" w:ascii="Wingdings" w:hAnsi="Wingdings"/>
      </w:rPr>
    </w:lvl>
  </w:abstractNum>
  <w:num w:numId="1">
    <w:abstractNumId w:val="5"/>
  </w:num>
  <w:num w:numId="2">
    <w:abstractNumId w:val="2"/>
  </w:num>
  <w:num w:numId="3">
    <w:abstractNumId w:val="6"/>
  </w:num>
  <w:num w:numId="4">
    <w:abstractNumId w:val="3"/>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YTUwNDhlMzMzODE0ZGQ0NDBiMjJjZDU1OGRjODQifQ=="/>
  </w:docVars>
  <w:rsids>
    <w:rsidRoot w:val="001020FA"/>
    <w:rsid w:val="001020FA"/>
    <w:rsid w:val="002D269B"/>
    <w:rsid w:val="00C42B35"/>
    <w:rsid w:val="010A29DC"/>
    <w:rsid w:val="01804A4C"/>
    <w:rsid w:val="019C3C2F"/>
    <w:rsid w:val="01A56261"/>
    <w:rsid w:val="01B446F6"/>
    <w:rsid w:val="02331ABF"/>
    <w:rsid w:val="02A824AD"/>
    <w:rsid w:val="02CD1F13"/>
    <w:rsid w:val="02CD3CC1"/>
    <w:rsid w:val="02D27781"/>
    <w:rsid w:val="02E1776D"/>
    <w:rsid w:val="02ED6112"/>
    <w:rsid w:val="02EE3C38"/>
    <w:rsid w:val="031E276F"/>
    <w:rsid w:val="036D224B"/>
    <w:rsid w:val="03BD3D36"/>
    <w:rsid w:val="03E312C3"/>
    <w:rsid w:val="03F51722"/>
    <w:rsid w:val="05355B4E"/>
    <w:rsid w:val="05377B18"/>
    <w:rsid w:val="057F6DC9"/>
    <w:rsid w:val="05A056BD"/>
    <w:rsid w:val="05AF3B52"/>
    <w:rsid w:val="05E57574"/>
    <w:rsid w:val="06086964"/>
    <w:rsid w:val="068C109B"/>
    <w:rsid w:val="06AE5BB8"/>
    <w:rsid w:val="06CE0008"/>
    <w:rsid w:val="06FF01C2"/>
    <w:rsid w:val="07CF4038"/>
    <w:rsid w:val="087F780C"/>
    <w:rsid w:val="088C1F29"/>
    <w:rsid w:val="08BB45BC"/>
    <w:rsid w:val="08CC0577"/>
    <w:rsid w:val="09255637"/>
    <w:rsid w:val="09376339"/>
    <w:rsid w:val="099F5C8C"/>
    <w:rsid w:val="09AF3429"/>
    <w:rsid w:val="0A1641A0"/>
    <w:rsid w:val="0A7E1D45"/>
    <w:rsid w:val="0A9D0F2C"/>
    <w:rsid w:val="0ABA0FCF"/>
    <w:rsid w:val="0ABB4D47"/>
    <w:rsid w:val="0AC7549A"/>
    <w:rsid w:val="0AF65D7F"/>
    <w:rsid w:val="0B291CB1"/>
    <w:rsid w:val="0B901D30"/>
    <w:rsid w:val="0B952D09"/>
    <w:rsid w:val="0BB91287"/>
    <w:rsid w:val="0BCF2858"/>
    <w:rsid w:val="0BD51E39"/>
    <w:rsid w:val="0BD87233"/>
    <w:rsid w:val="0C517DD5"/>
    <w:rsid w:val="0C796C68"/>
    <w:rsid w:val="0C7B29E0"/>
    <w:rsid w:val="0C7B653C"/>
    <w:rsid w:val="0C8226BD"/>
    <w:rsid w:val="0C9B098C"/>
    <w:rsid w:val="0CA041F5"/>
    <w:rsid w:val="0CE560AB"/>
    <w:rsid w:val="0D1D5845"/>
    <w:rsid w:val="0D224C0A"/>
    <w:rsid w:val="0D336E17"/>
    <w:rsid w:val="0D79564F"/>
    <w:rsid w:val="0DAB2E51"/>
    <w:rsid w:val="0E364E11"/>
    <w:rsid w:val="0F5C08A7"/>
    <w:rsid w:val="0F7F6343"/>
    <w:rsid w:val="0FA77648"/>
    <w:rsid w:val="0FA83AEC"/>
    <w:rsid w:val="0FDF3286"/>
    <w:rsid w:val="0FDF6E50"/>
    <w:rsid w:val="0FFF7484"/>
    <w:rsid w:val="103A226A"/>
    <w:rsid w:val="103F5AD3"/>
    <w:rsid w:val="1041184B"/>
    <w:rsid w:val="1054157E"/>
    <w:rsid w:val="10831E63"/>
    <w:rsid w:val="10AF2C58"/>
    <w:rsid w:val="10CD7582"/>
    <w:rsid w:val="11074842"/>
    <w:rsid w:val="11194F72"/>
    <w:rsid w:val="111B02EE"/>
    <w:rsid w:val="11692E07"/>
    <w:rsid w:val="1169609B"/>
    <w:rsid w:val="118440E5"/>
    <w:rsid w:val="11B5429E"/>
    <w:rsid w:val="11E44B84"/>
    <w:rsid w:val="120174E4"/>
    <w:rsid w:val="12040D82"/>
    <w:rsid w:val="12403B60"/>
    <w:rsid w:val="13897791"/>
    <w:rsid w:val="13A7230D"/>
    <w:rsid w:val="13D11138"/>
    <w:rsid w:val="14020D66"/>
    <w:rsid w:val="140E7C96"/>
    <w:rsid w:val="1413471E"/>
    <w:rsid w:val="14180B15"/>
    <w:rsid w:val="14551D69"/>
    <w:rsid w:val="146B333A"/>
    <w:rsid w:val="14A95C11"/>
    <w:rsid w:val="14AF1479"/>
    <w:rsid w:val="14E804E7"/>
    <w:rsid w:val="15673B02"/>
    <w:rsid w:val="158A7A00"/>
    <w:rsid w:val="15E72E94"/>
    <w:rsid w:val="16507D95"/>
    <w:rsid w:val="16846935"/>
    <w:rsid w:val="16BA4105"/>
    <w:rsid w:val="17365E81"/>
    <w:rsid w:val="17485BB5"/>
    <w:rsid w:val="175B1444"/>
    <w:rsid w:val="178070FD"/>
    <w:rsid w:val="17994B59"/>
    <w:rsid w:val="17E51656"/>
    <w:rsid w:val="18131D1F"/>
    <w:rsid w:val="181A12FF"/>
    <w:rsid w:val="187402AC"/>
    <w:rsid w:val="18784278"/>
    <w:rsid w:val="18842C1C"/>
    <w:rsid w:val="18A230A3"/>
    <w:rsid w:val="18C94C7E"/>
    <w:rsid w:val="18F25DD8"/>
    <w:rsid w:val="191915B7"/>
    <w:rsid w:val="1997072D"/>
    <w:rsid w:val="1A0062D3"/>
    <w:rsid w:val="1A2F0966"/>
    <w:rsid w:val="1A411554"/>
    <w:rsid w:val="1A642D06"/>
    <w:rsid w:val="1A7F369B"/>
    <w:rsid w:val="1A8213DE"/>
    <w:rsid w:val="1A8769F4"/>
    <w:rsid w:val="1A9A6727"/>
    <w:rsid w:val="1AE87493"/>
    <w:rsid w:val="1AF220BF"/>
    <w:rsid w:val="1B2D1349"/>
    <w:rsid w:val="1B302BE8"/>
    <w:rsid w:val="1B723200"/>
    <w:rsid w:val="1BA17641"/>
    <w:rsid w:val="1BE475D2"/>
    <w:rsid w:val="1BE91714"/>
    <w:rsid w:val="1C0F6CA1"/>
    <w:rsid w:val="1C2E5379"/>
    <w:rsid w:val="1C454471"/>
    <w:rsid w:val="1D156539"/>
    <w:rsid w:val="1D2E13A9"/>
    <w:rsid w:val="1D5C1A72"/>
    <w:rsid w:val="1D9A07EC"/>
    <w:rsid w:val="1DD7559C"/>
    <w:rsid w:val="1DEC729A"/>
    <w:rsid w:val="1DEF0B38"/>
    <w:rsid w:val="1E3429EF"/>
    <w:rsid w:val="1E4A3FC0"/>
    <w:rsid w:val="1E9D5CA3"/>
    <w:rsid w:val="1EB51D82"/>
    <w:rsid w:val="1EB853CE"/>
    <w:rsid w:val="1F1A7E37"/>
    <w:rsid w:val="1F394761"/>
    <w:rsid w:val="204A64FA"/>
    <w:rsid w:val="20727346"/>
    <w:rsid w:val="208A2D9A"/>
    <w:rsid w:val="20931C4F"/>
    <w:rsid w:val="211865F8"/>
    <w:rsid w:val="213B6212"/>
    <w:rsid w:val="21472A39"/>
    <w:rsid w:val="21570ECE"/>
    <w:rsid w:val="215C64E4"/>
    <w:rsid w:val="21717AB6"/>
    <w:rsid w:val="21F229A5"/>
    <w:rsid w:val="22412858"/>
    <w:rsid w:val="22947F00"/>
    <w:rsid w:val="22B97967"/>
    <w:rsid w:val="22C5630B"/>
    <w:rsid w:val="22F4099F"/>
    <w:rsid w:val="23852E44"/>
    <w:rsid w:val="239006C7"/>
    <w:rsid w:val="23952182"/>
    <w:rsid w:val="23B73EA6"/>
    <w:rsid w:val="23E46C65"/>
    <w:rsid w:val="24125580"/>
    <w:rsid w:val="243674C1"/>
    <w:rsid w:val="243A6885"/>
    <w:rsid w:val="24863878"/>
    <w:rsid w:val="24EC5DD1"/>
    <w:rsid w:val="254774AC"/>
    <w:rsid w:val="25551BC9"/>
    <w:rsid w:val="25A641D2"/>
    <w:rsid w:val="25F27417"/>
    <w:rsid w:val="25F50CB6"/>
    <w:rsid w:val="262477ED"/>
    <w:rsid w:val="26296BB1"/>
    <w:rsid w:val="26516F02"/>
    <w:rsid w:val="26760048"/>
    <w:rsid w:val="26914E82"/>
    <w:rsid w:val="269C7383"/>
    <w:rsid w:val="26A36964"/>
    <w:rsid w:val="26F86CAF"/>
    <w:rsid w:val="27455C6D"/>
    <w:rsid w:val="27764078"/>
    <w:rsid w:val="27A91D58"/>
    <w:rsid w:val="27D019DA"/>
    <w:rsid w:val="280D0539"/>
    <w:rsid w:val="2886653D"/>
    <w:rsid w:val="28BC1F5F"/>
    <w:rsid w:val="28DE1ED5"/>
    <w:rsid w:val="290731DA"/>
    <w:rsid w:val="291D0C4F"/>
    <w:rsid w:val="29824F56"/>
    <w:rsid w:val="29BE5A61"/>
    <w:rsid w:val="29FF0355"/>
    <w:rsid w:val="2A7F3244"/>
    <w:rsid w:val="2A846AAC"/>
    <w:rsid w:val="2A905451"/>
    <w:rsid w:val="2A9B7FD9"/>
    <w:rsid w:val="2B0D0850"/>
    <w:rsid w:val="2B4F70BA"/>
    <w:rsid w:val="2B512E32"/>
    <w:rsid w:val="2B536BAA"/>
    <w:rsid w:val="2BB05DAB"/>
    <w:rsid w:val="2BB313F7"/>
    <w:rsid w:val="2BC2788C"/>
    <w:rsid w:val="2BF14620"/>
    <w:rsid w:val="2C3A5674"/>
    <w:rsid w:val="2C9A6113"/>
    <w:rsid w:val="2CA90A4C"/>
    <w:rsid w:val="2CB73169"/>
    <w:rsid w:val="2CEA709A"/>
    <w:rsid w:val="2D9E7E85"/>
    <w:rsid w:val="2DAF3E40"/>
    <w:rsid w:val="2DB96A6D"/>
    <w:rsid w:val="2DC672E1"/>
    <w:rsid w:val="2DEC0BF0"/>
    <w:rsid w:val="2DF31F7F"/>
    <w:rsid w:val="2E304F81"/>
    <w:rsid w:val="2E3A7BAD"/>
    <w:rsid w:val="2EAB4607"/>
    <w:rsid w:val="2ED3590C"/>
    <w:rsid w:val="2EE1627B"/>
    <w:rsid w:val="2EE63891"/>
    <w:rsid w:val="2F3B1E2F"/>
    <w:rsid w:val="2F430CE4"/>
    <w:rsid w:val="2F68699C"/>
    <w:rsid w:val="2FAF0127"/>
    <w:rsid w:val="2FC0246D"/>
    <w:rsid w:val="30330D58"/>
    <w:rsid w:val="3038011D"/>
    <w:rsid w:val="30406FD1"/>
    <w:rsid w:val="30C85944"/>
    <w:rsid w:val="30DD2A72"/>
    <w:rsid w:val="3143321D"/>
    <w:rsid w:val="315A0567"/>
    <w:rsid w:val="31C81974"/>
    <w:rsid w:val="31F03D07"/>
    <w:rsid w:val="320C1861"/>
    <w:rsid w:val="32222E32"/>
    <w:rsid w:val="322A7F39"/>
    <w:rsid w:val="324C6101"/>
    <w:rsid w:val="328E04C8"/>
    <w:rsid w:val="32981347"/>
    <w:rsid w:val="32EB1476"/>
    <w:rsid w:val="32F72511"/>
    <w:rsid w:val="33010C9A"/>
    <w:rsid w:val="33174961"/>
    <w:rsid w:val="332E5807"/>
    <w:rsid w:val="335D7E9A"/>
    <w:rsid w:val="338D077F"/>
    <w:rsid w:val="338F44F8"/>
    <w:rsid w:val="33C5616B"/>
    <w:rsid w:val="33D740F0"/>
    <w:rsid w:val="33F94067"/>
    <w:rsid w:val="33FB1B8D"/>
    <w:rsid w:val="3428494C"/>
    <w:rsid w:val="34473024"/>
    <w:rsid w:val="346534AA"/>
    <w:rsid w:val="34C208FD"/>
    <w:rsid w:val="34D72CAE"/>
    <w:rsid w:val="34F66AD6"/>
    <w:rsid w:val="34FB5BBD"/>
    <w:rsid w:val="350902DA"/>
    <w:rsid w:val="354E2190"/>
    <w:rsid w:val="355377A7"/>
    <w:rsid w:val="356B4AF0"/>
    <w:rsid w:val="358E6A31"/>
    <w:rsid w:val="35C97A69"/>
    <w:rsid w:val="35FB40C6"/>
    <w:rsid w:val="362C0724"/>
    <w:rsid w:val="36435A6D"/>
    <w:rsid w:val="36466DEC"/>
    <w:rsid w:val="364D2448"/>
    <w:rsid w:val="36785717"/>
    <w:rsid w:val="36AC3612"/>
    <w:rsid w:val="371D006C"/>
    <w:rsid w:val="3724764D"/>
    <w:rsid w:val="372633C5"/>
    <w:rsid w:val="375A306E"/>
    <w:rsid w:val="37E26F60"/>
    <w:rsid w:val="38635F53"/>
    <w:rsid w:val="38726196"/>
    <w:rsid w:val="3881462B"/>
    <w:rsid w:val="38CA5FD2"/>
    <w:rsid w:val="3A1D07E1"/>
    <w:rsid w:val="3A2D05C6"/>
    <w:rsid w:val="3A4B4EF0"/>
    <w:rsid w:val="3A7D77A0"/>
    <w:rsid w:val="3ABE56C2"/>
    <w:rsid w:val="3B07350D"/>
    <w:rsid w:val="3B274D98"/>
    <w:rsid w:val="3B567FF1"/>
    <w:rsid w:val="3B9A296C"/>
    <w:rsid w:val="3BBA3B22"/>
    <w:rsid w:val="3C017F5D"/>
    <w:rsid w:val="3C096E11"/>
    <w:rsid w:val="3C0E2679"/>
    <w:rsid w:val="3C125CC6"/>
    <w:rsid w:val="3C2974B3"/>
    <w:rsid w:val="3C3A521C"/>
    <w:rsid w:val="3C4542ED"/>
    <w:rsid w:val="3CA70B94"/>
    <w:rsid w:val="3CAF1767"/>
    <w:rsid w:val="3CC64D02"/>
    <w:rsid w:val="3CF950D8"/>
    <w:rsid w:val="3D08531B"/>
    <w:rsid w:val="3D606F05"/>
    <w:rsid w:val="3D8F7BCA"/>
    <w:rsid w:val="3DA92E39"/>
    <w:rsid w:val="3DE9514C"/>
    <w:rsid w:val="3E1675C3"/>
    <w:rsid w:val="3E595E2E"/>
    <w:rsid w:val="3E622809"/>
    <w:rsid w:val="3E6B3DB3"/>
    <w:rsid w:val="3E832EAB"/>
    <w:rsid w:val="3E974BA8"/>
    <w:rsid w:val="3ED74FA5"/>
    <w:rsid w:val="3F0A38C9"/>
    <w:rsid w:val="3F3270A0"/>
    <w:rsid w:val="3F3E5024"/>
    <w:rsid w:val="3F650802"/>
    <w:rsid w:val="3F826904"/>
    <w:rsid w:val="3FAC4683"/>
    <w:rsid w:val="40156423"/>
    <w:rsid w:val="40420B44"/>
    <w:rsid w:val="40640ABA"/>
    <w:rsid w:val="40994C08"/>
    <w:rsid w:val="40F64D19"/>
    <w:rsid w:val="41660A6C"/>
    <w:rsid w:val="4171348E"/>
    <w:rsid w:val="41794A39"/>
    <w:rsid w:val="418C2076"/>
    <w:rsid w:val="41A5138A"/>
    <w:rsid w:val="41E9571B"/>
    <w:rsid w:val="42100EF9"/>
    <w:rsid w:val="429531AD"/>
    <w:rsid w:val="42BD2703"/>
    <w:rsid w:val="43592BFC"/>
    <w:rsid w:val="43776D56"/>
    <w:rsid w:val="437C6BAA"/>
    <w:rsid w:val="43860D47"/>
    <w:rsid w:val="43993170"/>
    <w:rsid w:val="43994F1E"/>
    <w:rsid w:val="43AA712C"/>
    <w:rsid w:val="43BE4985"/>
    <w:rsid w:val="43D34B2E"/>
    <w:rsid w:val="43DB1093"/>
    <w:rsid w:val="43F16B09"/>
    <w:rsid w:val="43FE2FD4"/>
    <w:rsid w:val="44613C8E"/>
    <w:rsid w:val="44727C49"/>
    <w:rsid w:val="44C01F1F"/>
    <w:rsid w:val="44F87A23"/>
    <w:rsid w:val="45505AB1"/>
    <w:rsid w:val="458319E2"/>
    <w:rsid w:val="45C1633F"/>
    <w:rsid w:val="45D43012"/>
    <w:rsid w:val="45E05087"/>
    <w:rsid w:val="46477A59"/>
    <w:rsid w:val="4667009F"/>
    <w:rsid w:val="46A32355"/>
    <w:rsid w:val="46C95C87"/>
    <w:rsid w:val="470B1C8F"/>
    <w:rsid w:val="471054F8"/>
    <w:rsid w:val="471843AC"/>
    <w:rsid w:val="474156B1"/>
    <w:rsid w:val="47490A0A"/>
    <w:rsid w:val="476D46F8"/>
    <w:rsid w:val="47721D0E"/>
    <w:rsid w:val="47953C4F"/>
    <w:rsid w:val="479E0D55"/>
    <w:rsid w:val="47A520E4"/>
    <w:rsid w:val="47A53E92"/>
    <w:rsid w:val="47EC1AC1"/>
    <w:rsid w:val="48050DD4"/>
    <w:rsid w:val="480E5EDB"/>
    <w:rsid w:val="481B05F8"/>
    <w:rsid w:val="48BF5427"/>
    <w:rsid w:val="48E72288"/>
    <w:rsid w:val="49153299"/>
    <w:rsid w:val="491F7C74"/>
    <w:rsid w:val="49AA39E1"/>
    <w:rsid w:val="49D00F6E"/>
    <w:rsid w:val="49E8275C"/>
    <w:rsid w:val="4A2A2D74"/>
    <w:rsid w:val="4A2A4B22"/>
    <w:rsid w:val="4A34774F"/>
    <w:rsid w:val="4A49144C"/>
    <w:rsid w:val="4A5D6CA6"/>
    <w:rsid w:val="4AB60164"/>
    <w:rsid w:val="4ACA3C0F"/>
    <w:rsid w:val="4B076C12"/>
    <w:rsid w:val="4B117A90"/>
    <w:rsid w:val="4B3F45FD"/>
    <w:rsid w:val="4B5300A9"/>
    <w:rsid w:val="4BB723E6"/>
    <w:rsid w:val="4BD67C05"/>
    <w:rsid w:val="4BF52F0E"/>
    <w:rsid w:val="4C123AC0"/>
    <w:rsid w:val="4C8E75EA"/>
    <w:rsid w:val="4CCE3E8B"/>
    <w:rsid w:val="4CEE1E37"/>
    <w:rsid w:val="4D754306"/>
    <w:rsid w:val="4D937904"/>
    <w:rsid w:val="4DBA440F"/>
    <w:rsid w:val="4DE65204"/>
    <w:rsid w:val="4DFE42FC"/>
    <w:rsid w:val="4E1F24C4"/>
    <w:rsid w:val="4E2875CB"/>
    <w:rsid w:val="4E3F66C2"/>
    <w:rsid w:val="4E567DF1"/>
    <w:rsid w:val="4E6B74B7"/>
    <w:rsid w:val="4F1931A5"/>
    <w:rsid w:val="4F3124AF"/>
    <w:rsid w:val="4F674123"/>
    <w:rsid w:val="4F974A08"/>
    <w:rsid w:val="50285660"/>
    <w:rsid w:val="50335621"/>
    <w:rsid w:val="50901457"/>
    <w:rsid w:val="50BD049E"/>
    <w:rsid w:val="50E33C7D"/>
    <w:rsid w:val="512E4EF8"/>
    <w:rsid w:val="51330760"/>
    <w:rsid w:val="5156444F"/>
    <w:rsid w:val="51621046"/>
    <w:rsid w:val="517F7502"/>
    <w:rsid w:val="51890380"/>
    <w:rsid w:val="51BD627C"/>
    <w:rsid w:val="52120376"/>
    <w:rsid w:val="524424F9"/>
    <w:rsid w:val="52564D2C"/>
    <w:rsid w:val="525E180D"/>
    <w:rsid w:val="52D16FAF"/>
    <w:rsid w:val="52D7336D"/>
    <w:rsid w:val="53000B16"/>
    <w:rsid w:val="5325057D"/>
    <w:rsid w:val="533407C0"/>
    <w:rsid w:val="53590226"/>
    <w:rsid w:val="535E75EB"/>
    <w:rsid w:val="53CB2ED2"/>
    <w:rsid w:val="543A1E06"/>
    <w:rsid w:val="546D5D37"/>
    <w:rsid w:val="547E6196"/>
    <w:rsid w:val="5490448A"/>
    <w:rsid w:val="54977258"/>
    <w:rsid w:val="54EF0E42"/>
    <w:rsid w:val="55020B76"/>
    <w:rsid w:val="55144405"/>
    <w:rsid w:val="55381ED8"/>
    <w:rsid w:val="55432F3C"/>
    <w:rsid w:val="55C220B3"/>
    <w:rsid w:val="55C73B6D"/>
    <w:rsid w:val="55DB13C7"/>
    <w:rsid w:val="560426CB"/>
    <w:rsid w:val="561A3C9D"/>
    <w:rsid w:val="562C577E"/>
    <w:rsid w:val="563D5BDD"/>
    <w:rsid w:val="56EF78B1"/>
    <w:rsid w:val="570D1A54"/>
    <w:rsid w:val="570D55B0"/>
    <w:rsid w:val="57A31A70"/>
    <w:rsid w:val="57AA1051"/>
    <w:rsid w:val="57AE0B41"/>
    <w:rsid w:val="57B123DF"/>
    <w:rsid w:val="57C2283E"/>
    <w:rsid w:val="57E91B79"/>
    <w:rsid w:val="57E97DCB"/>
    <w:rsid w:val="57F66044"/>
    <w:rsid w:val="57FA1FD8"/>
    <w:rsid w:val="58360B36"/>
    <w:rsid w:val="585F008D"/>
    <w:rsid w:val="586D09FC"/>
    <w:rsid w:val="58766A48"/>
    <w:rsid w:val="58CB5722"/>
    <w:rsid w:val="58D2260D"/>
    <w:rsid w:val="58D75E75"/>
    <w:rsid w:val="58DF2F7C"/>
    <w:rsid w:val="58FE1654"/>
    <w:rsid w:val="597731B4"/>
    <w:rsid w:val="598B6C60"/>
    <w:rsid w:val="59B12B6A"/>
    <w:rsid w:val="5A1153B7"/>
    <w:rsid w:val="5A2C0443"/>
    <w:rsid w:val="5A366BCB"/>
    <w:rsid w:val="5A5A4FB0"/>
    <w:rsid w:val="5A5B2AD6"/>
    <w:rsid w:val="5AA1498D"/>
    <w:rsid w:val="5AA63850"/>
    <w:rsid w:val="5AB346C0"/>
    <w:rsid w:val="5ADF7263"/>
    <w:rsid w:val="5AFC7E15"/>
    <w:rsid w:val="5B1213E7"/>
    <w:rsid w:val="5B21787C"/>
    <w:rsid w:val="5B44356A"/>
    <w:rsid w:val="5BA504AD"/>
    <w:rsid w:val="5BC07095"/>
    <w:rsid w:val="5C401F83"/>
    <w:rsid w:val="5CE62B2B"/>
    <w:rsid w:val="5CFE5DC2"/>
    <w:rsid w:val="5D59154F"/>
    <w:rsid w:val="5D6F4961"/>
    <w:rsid w:val="5E2733FB"/>
    <w:rsid w:val="5ECE7D1A"/>
    <w:rsid w:val="5F322057"/>
    <w:rsid w:val="5F3C3B8D"/>
    <w:rsid w:val="5F8328B3"/>
    <w:rsid w:val="5F8D54E0"/>
    <w:rsid w:val="5F954394"/>
    <w:rsid w:val="5FB23198"/>
    <w:rsid w:val="5FC52ECB"/>
    <w:rsid w:val="5FE62E42"/>
    <w:rsid w:val="60145C01"/>
    <w:rsid w:val="60147B6A"/>
    <w:rsid w:val="60483AFC"/>
    <w:rsid w:val="60940AF0"/>
    <w:rsid w:val="60B44CEE"/>
    <w:rsid w:val="60C018E5"/>
    <w:rsid w:val="60E455D3"/>
    <w:rsid w:val="60F35816"/>
    <w:rsid w:val="610F0176"/>
    <w:rsid w:val="61377DF9"/>
    <w:rsid w:val="613D4CE3"/>
    <w:rsid w:val="61646714"/>
    <w:rsid w:val="61CD6067"/>
    <w:rsid w:val="6232236E"/>
    <w:rsid w:val="624C13BE"/>
    <w:rsid w:val="625B7B17"/>
    <w:rsid w:val="62B9483E"/>
    <w:rsid w:val="62D6719E"/>
    <w:rsid w:val="62E96ED1"/>
    <w:rsid w:val="62FD297C"/>
    <w:rsid w:val="63520F1A"/>
    <w:rsid w:val="635B58F5"/>
    <w:rsid w:val="6367429A"/>
    <w:rsid w:val="63927568"/>
    <w:rsid w:val="64236413"/>
    <w:rsid w:val="64667DE6"/>
    <w:rsid w:val="646F1658"/>
    <w:rsid w:val="648F3AA8"/>
    <w:rsid w:val="6511270F"/>
    <w:rsid w:val="654C7BEB"/>
    <w:rsid w:val="65757142"/>
    <w:rsid w:val="659D21F5"/>
    <w:rsid w:val="662F7BB7"/>
    <w:rsid w:val="66377F53"/>
    <w:rsid w:val="665E1984"/>
    <w:rsid w:val="669B6734"/>
    <w:rsid w:val="66B35C38"/>
    <w:rsid w:val="66B772E6"/>
    <w:rsid w:val="66CD6B09"/>
    <w:rsid w:val="66D460EA"/>
    <w:rsid w:val="67080D54"/>
    <w:rsid w:val="67194A7C"/>
    <w:rsid w:val="67395F4D"/>
    <w:rsid w:val="677A27ED"/>
    <w:rsid w:val="67A45ABC"/>
    <w:rsid w:val="67B51A77"/>
    <w:rsid w:val="67FF2CF3"/>
    <w:rsid w:val="680B4C30"/>
    <w:rsid w:val="683C3F47"/>
    <w:rsid w:val="68817BAC"/>
    <w:rsid w:val="688C20CE"/>
    <w:rsid w:val="68A67612"/>
    <w:rsid w:val="69020CEC"/>
    <w:rsid w:val="69531548"/>
    <w:rsid w:val="698C6808"/>
    <w:rsid w:val="699658D9"/>
    <w:rsid w:val="699833FF"/>
    <w:rsid w:val="69DA3A17"/>
    <w:rsid w:val="69DA57C5"/>
    <w:rsid w:val="6A301889"/>
    <w:rsid w:val="6A590DE0"/>
    <w:rsid w:val="6A771266"/>
    <w:rsid w:val="6A9736B6"/>
    <w:rsid w:val="6AA87672"/>
    <w:rsid w:val="6AB9362D"/>
    <w:rsid w:val="6AC326FD"/>
    <w:rsid w:val="6B3709F5"/>
    <w:rsid w:val="6BEC7A32"/>
    <w:rsid w:val="6BEE5558"/>
    <w:rsid w:val="6C2E3BA6"/>
    <w:rsid w:val="6C6972D4"/>
    <w:rsid w:val="6C6B4DFB"/>
    <w:rsid w:val="6C90660F"/>
    <w:rsid w:val="6CF070AE"/>
    <w:rsid w:val="6CF7668E"/>
    <w:rsid w:val="6D3A657B"/>
    <w:rsid w:val="6D73520A"/>
    <w:rsid w:val="6D761CA9"/>
    <w:rsid w:val="6DEF3809"/>
    <w:rsid w:val="6E14501E"/>
    <w:rsid w:val="6E3336F6"/>
    <w:rsid w:val="6E3851B0"/>
    <w:rsid w:val="6E492F1A"/>
    <w:rsid w:val="6E873A42"/>
    <w:rsid w:val="6ECF78C3"/>
    <w:rsid w:val="6F0B6421"/>
    <w:rsid w:val="6F541B76"/>
    <w:rsid w:val="6FB40867"/>
    <w:rsid w:val="6FBB1BF5"/>
    <w:rsid w:val="6FC211D5"/>
    <w:rsid w:val="6FC7059A"/>
    <w:rsid w:val="70132A86"/>
    <w:rsid w:val="70497201"/>
    <w:rsid w:val="705067E1"/>
    <w:rsid w:val="7064403B"/>
    <w:rsid w:val="707331AA"/>
    <w:rsid w:val="70B76860"/>
    <w:rsid w:val="70D171F6"/>
    <w:rsid w:val="70EA2CA9"/>
    <w:rsid w:val="711A6DEF"/>
    <w:rsid w:val="71325EE7"/>
    <w:rsid w:val="71722787"/>
    <w:rsid w:val="718A5D23"/>
    <w:rsid w:val="723B701D"/>
    <w:rsid w:val="725400DF"/>
    <w:rsid w:val="72A93F87"/>
    <w:rsid w:val="72B56DCF"/>
    <w:rsid w:val="72C011B0"/>
    <w:rsid w:val="733F2B3D"/>
    <w:rsid w:val="73410663"/>
    <w:rsid w:val="734343DB"/>
    <w:rsid w:val="73715B9E"/>
    <w:rsid w:val="73D634A1"/>
    <w:rsid w:val="73E536E4"/>
    <w:rsid w:val="73E86D31"/>
    <w:rsid w:val="74082F2F"/>
    <w:rsid w:val="745D771F"/>
    <w:rsid w:val="7480340D"/>
    <w:rsid w:val="74DA2B1D"/>
    <w:rsid w:val="74E27C24"/>
    <w:rsid w:val="74F33BDF"/>
    <w:rsid w:val="74F55BA9"/>
    <w:rsid w:val="750556C0"/>
    <w:rsid w:val="75410DEE"/>
    <w:rsid w:val="754E52B9"/>
    <w:rsid w:val="75780B59"/>
    <w:rsid w:val="757E5B9F"/>
    <w:rsid w:val="75AB44BA"/>
    <w:rsid w:val="75B12B43"/>
    <w:rsid w:val="75D26E03"/>
    <w:rsid w:val="76432944"/>
    <w:rsid w:val="764A5A81"/>
    <w:rsid w:val="76746FA2"/>
    <w:rsid w:val="767D7C04"/>
    <w:rsid w:val="7682521B"/>
    <w:rsid w:val="76A36180"/>
    <w:rsid w:val="76C92E49"/>
    <w:rsid w:val="76F1414E"/>
    <w:rsid w:val="771542E1"/>
    <w:rsid w:val="77383B2B"/>
    <w:rsid w:val="776B3F01"/>
    <w:rsid w:val="779344D8"/>
    <w:rsid w:val="77AD276B"/>
    <w:rsid w:val="78322C70"/>
    <w:rsid w:val="783469E8"/>
    <w:rsid w:val="78434E7D"/>
    <w:rsid w:val="78437C94"/>
    <w:rsid w:val="788A2AAC"/>
    <w:rsid w:val="789D458E"/>
    <w:rsid w:val="789E20B4"/>
    <w:rsid w:val="78C25DA2"/>
    <w:rsid w:val="78F30652"/>
    <w:rsid w:val="79052133"/>
    <w:rsid w:val="793B3DA7"/>
    <w:rsid w:val="79D33FDF"/>
    <w:rsid w:val="7A603AC5"/>
    <w:rsid w:val="7A635363"/>
    <w:rsid w:val="7AB7745D"/>
    <w:rsid w:val="7AD24297"/>
    <w:rsid w:val="7AE244DA"/>
    <w:rsid w:val="7B31720F"/>
    <w:rsid w:val="7B6E2211"/>
    <w:rsid w:val="7B7535A0"/>
    <w:rsid w:val="7B9D2AF7"/>
    <w:rsid w:val="7BB0282A"/>
    <w:rsid w:val="7BC372C8"/>
    <w:rsid w:val="7BE10C35"/>
    <w:rsid w:val="7BE349AD"/>
    <w:rsid w:val="7BEE3352"/>
    <w:rsid w:val="7BF32717"/>
    <w:rsid w:val="7C106D77"/>
    <w:rsid w:val="7C296138"/>
    <w:rsid w:val="7C613B24"/>
    <w:rsid w:val="7C945CA8"/>
    <w:rsid w:val="7CEA58C8"/>
    <w:rsid w:val="7D0746CC"/>
    <w:rsid w:val="7D140B97"/>
    <w:rsid w:val="7D480840"/>
    <w:rsid w:val="7D5316BF"/>
    <w:rsid w:val="7D5D42EC"/>
    <w:rsid w:val="7D9B1948"/>
    <w:rsid w:val="7DA243F4"/>
    <w:rsid w:val="7DAA32A9"/>
    <w:rsid w:val="7DE70059"/>
    <w:rsid w:val="7E2D63B4"/>
    <w:rsid w:val="7E5356EF"/>
    <w:rsid w:val="7E573431"/>
    <w:rsid w:val="7E7704EC"/>
    <w:rsid w:val="7EB51F05"/>
    <w:rsid w:val="7ED7291A"/>
    <w:rsid w:val="7EFB200E"/>
    <w:rsid w:val="7F4D0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6"/>
    <w:next w:val="1"/>
    <w:qFormat/>
    <w:uiPriority w:val="0"/>
    <w:pPr>
      <w:keepNext/>
      <w:keepLines/>
      <w:numPr>
        <w:ilvl w:val="3"/>
        <w:numId w:val="1"/>
      </w:numPr>
      <w:spacing w:before="280" w:after="290" w:line="376" w:lineRule="auto"/>
      <w:outlineLvl w:val="3"/>
    </w:pPr>
    <w:rPr>
      <w:rFonts w:ascii="Cambria" w:hAnsi="Cambria"/>
      <w:b/>
      <w:bCs/>
      <w:sz w:val="28"/>
      <w:szCs w:val="28"/>
    </w:rPr>
  </w:style>
  <w:style w:type="paragraph" w:styleId="7">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9">
    <w:name w:val="Default Paragraph Font"/>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customStyle="1" w:styleId="6">
    <w:name w:val="List Paragraph"/>
    <w:basedOn w:val="1"/>
    <w:unhideWhenUsed/>
    <w:qFormat/>
    <w:uiPriority w:val="34"/>
    <w:pPr>
      <w:ind w:firstLine="420" w:firstLineChars="200"/>
    </w:pPr>
  </w:style>
  <w:style w:type="paragraph" w:styleId="8">
    <w:name w:val="table of authorities"/>
    <w:basedOn w:val="1"/>
    <w:next w:val="1"/>
    <w:qFormat/>
    <w:uiPriority w:val="99"/>
    <w:pPr>
      <w:ind w:left="420" w:leftChars="200"/>
    </w:pPr>
  </w:style>
  <w:style w:type="paragraph" w:styleId="9">
    <w:name w:val="Body Text"/>
    <w:basedOn w:val="1"/>
    <w:autoRedefine/>
    <w:qFormat/>
    <w:uiPriority w:val="0"/>
    <w:pPr>
      <w:spacing w:after="120"/>
    </w:pPr>
  </w:style>
  <w:style w:type="paragraph" w:styleId="10">
    <w:name w:val="Body Text Indent"/>
    <w:basedOn w:val="1"/>
    <w:qFormat/>
    <w:uiPriority w:val="0"/>
    <w:pPr>
      <w:spacing w:after="120"/>
      <w:ind w:left="420" w:leftChars="200"/>
    </w:p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39"/>
    <w:pPr>
      <w:tabs>
        <w:tab w:val="right" w:leader="dot" w:pos="8302"/>
      </w:tabs>
      <w:spacing w:before="360"/>
      <w:jc w:val="left"/>
    </w:pPr>
    <w:rPr>
      <w:rFonts w:ascii="Arial" w:hAnsi="Arial" w:cs="Arial"/>
      <w:b/>
      <w:bCs/>
      <w:caps/>
      <w:sz w:val="30"/>
      <w:szCs w:val="30"/>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6"/>
    <w:autoRedefine/>
    <w:unhideWhenUsed/>
    <w:qFormat/>
    <w:uiPriority w:val="0"/>
    <w:pPr>
      <w:ind w:firstLine="420" w:firstLineChars="100"/>
    </w:pPr>
    <w:rPr>
      <w:rFonts w:ascii="Times New Roman" w:hAnsi="Times New Roman"/>
    </w:rPr>
  </w:style>
  <w:style w:type="paragraph" w:styleId="16">
    <w:name w:val="Body Text First Indent 2"/>
    <w:basedOn w:val="10"/>
    <w:next w:val="1"/>
    <w:autoRedefine/>
    <w:unhideWhenUsed/>
    <w:qFormat/>
    <w:uiPriority w:val="0"/>
    <w:pPr>
      <w:spacing w:after="0" w:line="480" w:lineRule="exact"/>
      <w:ind w:left="0" w:leftChars="0" w:firstLine="420" w:firstLineChars="200"/>
    </w:pPr>
    <w:rPr>
      <w:rFonts w:ascii="Times New Roman" w:hAnsi="Times New Roman" w:eastAsia="楷体_GB2312"/>
      <w:kern w:val="0"/>
      <w:sz w:val="32"/>
      <w:szCs w:val="20"/>
    </w:rPr>
  </w:style>
  <w:style w:type="table" w:styleId="18">
    <w:name w:val="Table Grid"/>
    <w:basedOn w:val="17"/>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page number"/>
    <w:basedOn w:val="19"/>
    <w:autoRedefine/>
    <w:qFormat/>
    <w:uiPriority w:val="0"/>
  </w:style>
  <w:style w:type="character" w:styleId="22">
    <w:name w:val="Hyperlink"/>
    <w:basedOn w:val="19"/>
    <w:qFormat/>
    <w:uiPriority w:val="0"/>
    <w:rPr>
      <w:color w:val="0000FF"/>
      <w:u w:val="single"/>
    </w:rPr>
  </w:style>
  <w:style w:type="paragraph" w:customStyle="1" w:styleId="23">
    <w:name w:val="Other|1"/>
    <w:basedOn w:val="1"/>
    <w:autoRedefine/>
    <w:qFormat/>
    <w:uiPriority w:val="0"/>
    <w:pPr>
      <w:spacing w:line="348" w:lineRule="auto"/>
    </w:pPr>
    <w:rPr>
      <w:rFonts w:ascii="宋体" w:hAnsi="宋体" w:cs="宋体"/>
      <w:sz w:val="20"/>
      <w:szCs w:val="20"/>
      <w:lang w:val="zh-TW" w:eastAsia="zh-TW" w:bidi="zh-TW"/>
    </w:rPr>
  </w:style>
  <w:style w:type="paragraph" w:customStyle="1" w:styleId="24">
    <w:name w:val="Body text|1"/>
    <w:basedOn w:val="1"/>
    <w:autoRedefine/>
    <w:qFormat/>
    <w:uiPriority w:val="0"/>
    <w:pPr>
      <w:spacing w:line="348" w:lineRule="auto"/>
    </w:pPr>
    <w:rPr>
      <w:rFonts w:ascii="宋体" w:hAnsi="宋体" w:cs="宋体"/>
      <w:sz w:val="20"/>
      <w:szCs w:val="20"/>
      <w:lang w:val="zh-TW" w:eastAsia="zh-TW" w:bidi="zh-TW"/>
    </w:rPr>
  </w:style>
  <w:style w:type="paragraph" w:customStyle="1" w:styleId="25">
    <w:name w:val="标题 21"/>
    <w:basedOn w:val="1"/>
    <w:next w:val="1"/>
    <w:qFormat/>
    <w:uiPriority w:val="9"/>
    <w:pPr>
      <w:keepNext/>
      <w:keepLines/>
      <w:numPr>
        <w:ilvl w:val="1"/>
        <w:numId w:val="1"/>
      </w:numPr>
      <w:spacing w:before="260" w:after="260" w:line="416" w:lineRule="auto"/>
      <w:outlineLvl w:val="1"/>
    </w:pPr>
    <w:rPr>
      <w:rFonts w:ascii="Cambria" w:hAnsi="Cambria"/>
      <w:b/>
      <w:bCs/>
      <w:sz w:val="32"/>
      <w:szCs w:val="32"/>
    </w:rPr>
  </w:style>
  <w:style w:type="paragraph" w:customStyle="1" w:styleId="26">
    <w:name w:val="列出段落8"/>
    <w:basedOn w:val="1"/>
    <w:qFormat/>
    <w:uiPriority w:val="0"/>
    <w:pPr>
      <w:ind w:firstLine="420" w:firstLineChars="200"/>
    </w:pPr>
    <w:rPr>
      <w:rFonts w:ascii="宋体" w:hAnsi="宋体" w:eastAsia="宋体"/>
      <w:spacing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9544</Words>
  <Characters>11302</Characters>
  <Lines>0</Lines>
  <Paragraphs>0</Paragraphs>
  <TotalTime>81</TotalTime>
  <ScaleCrop>false</ScaleCrop>
  <LinksUpToDate>false</LinksUpToDate>
  <CharactersWithSpaces>11668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2024-11-19T08:53:00Z</dcterms:created>
  <dc:creator>尤小虎</dc:creator>
  <cp:lastModifiedBy>帅到掉渣</cp:lastModifiedBy>
  <dcterms:modified xsi:type="dcterms:W3CDTF">2026-10-10T03:09:57Z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2F30F50BD3C64089B84530DBBBA432AA_13</vt:lpwstr>
  </property>
  <property fmtid="{D5CDD505-2E9C-101B-9397-08002B2CF9AE}" pid="4" name="KSOTemplateDocerSaveRecord">
    <vt:lpwstr>eyJoZGlkIjoiMDBjODMyZTg0MWE1NTUwNDc4MDM4YmE5YTVhYWVmZjAiLCJ1c2VySWQiOiIzMTI1NzY4MDAifQ==</vt:lpwstr>
  </property>
</Properties>
</file>